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sz w:val="44"/>
          <w:szCs w:val="44"/>
        </w:rPr>
      </w:pPr>
      <w:r>
        <w:rPr>
          <w:rFonts w:hint="eastAsia"/>
          <w:b/>
          <w:sz w:val="44"/>
          <w:szCs w:val="44"/>
        </w:rPr>
        <w:t>情况说明</w:t>
      </w:r>
    </w:p>
    <w:p>
      <w:pPr>
        <w:jc w:val="center"/>
        <w:rPr>
          <w:rFonts w:hint="eastAsia" w:ascii="宋体" w:hAnsi="宋体"/>
          <w:sz w:val="24"/>
          <w:szCs w:val="24"/>
          <w:lang w:val="en-US" w:eastAsia="zh-CN"/>
        </w:rPr>
      </w:pPr>
    </w:p>
    <w:p>
      <w:pPr>
        <w:jc w:val="both"/>
        <w:rPr>
          <w:rFonts w:hint="eastAsia" w:ascii="宋体" w:hAnsi="宋体"/>
          <w:b/>
          <w:bCs/>
          <w:sz w:val="24"/>
          <w:szCs w:val="24"/>
          <w:lang w:eastAsia="zh-CN"/>
        </w:rPr>
      </w:pPr>
      <w:r>
        <w:rPr>
          <w:rFonts w:hint="eastAsia" w:ascii="宋体" w:hAnsi="宋体"/>
          <w:b/>
          <w:bCs/>
          <w:sz w:val="24"/>
          <w:szCs w:val="24"/>
          <w:lang w:val="en-US" w:eastAsia="zh-CN"/>
        </w:rPr>
        <w:t>杭州市生态环境局余杭分</w:t>
      </w:r>
      <w:r>
        <w:rPr>
          <w:rFonts w:hint="eastAsia" w:ascii="宋体" w:hAnsi="宋体"/>
          <w:b/>
          <w:bCs/>
          <w:sz w:val="24"/>
          <w:szCs w:val="24"/>
          <w:lang w:eastAsia="zh-CN"/>
        </w:rPr>
        <w:t>局：</w:t>
      </w:r>
    </w:p>
    <w:p>
      <w:pPr>
        <w:widowControl/>
        <w:adjustRightInd w:val="0"/>
        <w:snapToGrid w:val="0"/>
        <w:spacing w:line="500" w:lineRule="exact"/>
        <w:ind w:firstLine="482" w:firstLineChars="200"/>
        <w:rPr>
          <w:rFonts w:hint="eastAsia" w:ascii="宋体" w:hAnsi="宋体"/>
          <w:b w:val="0"/>
          <w:bCs w:val="0"/>
          <w:sz w:val="24"/>
          <w:szCs w:val="24"/>
          <w:lang w:eastAsia="zh-CN"/>
        </w:rPr>
      </w:pPr>
      <w:r>
        <w:rPr>
          <w:rFonts w:hint="eastAsia" w:ascii="宋体" w:hAnsi="宋体"/>
          <w:b/>
          <w:bCs/>
          <w:sz w:val="24"/>
          <w:szCs w:val="24"/>
          <w:lang w:val="en-US" w:eastAsia="zh-CN"/>
        </w:rPr>
        <w:t>杭州诚祥塑胶制品</w:t>
      </w:r>
      <w:r>
        <w:rPr>
          <w:rFonts w:hint="eastAsia" w:ascii="宋体" w:hAnsi="宋体"/>
          <w:b/>
          <w:bCs/>
          <w:sz w:val="24"/>
          <w:szCs w:val="24"/>
          <w:lang w:eastAsia="zh-CN"/>
        </w:rPr>
        <w:t>有限公司，位于杭州市</w:t>
      </w:r>
      <w:r>
        <w:rPr>
          <w:rFonts w:hint="eastAsia" w:ascii="宋体" w:hAnsi="宋体"/>
          <w:b/>
          <w:bCs/>
          <w:sz w:val="24"/>
          <w:szCs w:val="24"/>
          <w:lang w:val="en-US" w:eastAsia="zh-CN"/>
        </w:rPr>
        <w:t>余杭区余杭街道新庵前98号1幢102室、407室，我司申请办理年产办公家具配件150万件项目环</w:t>
      </w:r>
      <w:r>
        <w:rPr>
          <w:rFonts w:hint="eastAsia" w:ascii="宋体" w:hAnsi="宋体"/>
          <w:b/>
          <w:bCs/>
          <w:sz w:val="24"/>
          <w:szCs w:val="24"/>
          <w:lang w:eastAsia="zh-CN"/>
        </w:rPr>
        <w:t>境影响登记表备案手续，根据相关要求，特作以下情况说明。</w:t>
      </w:r>
    </w:p>
    <w:p>
      <w:pPr>
        <w:ind w:firstLine="482" w:firstLineChars="200"/>
        <w:jc w:val="both"/>
        <w:rPr>
          <w:rFonts w:hint="default" w:ascii="宋体" w:hAnsi="宋体"/>
          <w:b/>
          <w:bCs/>
          <w:sz w:val="24"/>
          <w:szCs w:val="24"/>
          <w:lang w:val="en-US" w:eastAsia="zh-CN"/>
        </w:rPr>
      </w:pPr>
    </w:p>
    <w:p>
      <w:pPr>
        <w:pStyle w:val="10"/>
        <w:numPr>
          <w:ilvl w:val="0"/>
          <w:numId w:val="0"/>
        </w:numPr>
        <w:ind w:leftChars="0"/>
        <w:rPr>
          <w:rFonts w:hint="eastAsia"/>
          <w:b/>
          <w:bCs/>
          <w:sz w:val="21"/>
          <w:szCs w:val="21"/>
        </w:rPr>
      </w:pPr>
      <w:r>
        <w:rPr>
          <w:rFonts w:hint="eastAsia"/>
          <w:b/>
          <w:bCs/>
          <w:sz w:val="21"/>
          <w:szCs w:val="21"/>
          <w:lang w:val="en-US" w:eastAsia="zh-CN"/>
        </w:rPr>
        <w:t>1、</w:t>
      </w:r>
      <w:r>
        <w:rPr>
          <w:rFonts w:hint="eastAsia"/>
          <w:b/>
          <w:bCs/>
          <w:sz w:val="21"/>
          <w:szCs w:val="21"/>
        </w:rPr>
        <w:t>许可证管理等级判定</w:t>
      </w:r>
    </w:p>
    <w:p>
      <w:pPr>
        <w:adjustRightInd w:val="0"/>
        <w:spacing w:line="400" w:lineRule="exact"/>
        <w:ind w:firstLine="420" w:firstLineChars="200"/>
        <w:jc w:val="left"/>
        <w:rPr>
          <w:rFonts w:hint="eastAsia" w:ascii="宋体" w:hAnsi="宋体"/>
          <w:sz w:val="21"/>
          <w:szCs w:val="21"/>
        </w:rPr>
      </w:pPr>
      <w:r>
        <w:rPr>
          <w:rFonts w:hint="eastAsia" w:ascii="宋体" w:hAnsi="宋体"/>
          <w:sz w:val="21"/>
          <w:szCs w:val="21"/>
        </w:rPr>
        <w:t>根据《固定污染源排污许可分类管理名录（2019年版）》，本项目属于“</w:t>
      </w:r>
      <w:r>
        <w:rPr>
          <w:rFonts w:hint="eastAsia" w:ascii="宋体" w:hAnsi="宋体"/>
          <w:b w:val="0"/>
          <w:bCs w:val="0"/>
          <w:sz w:val="21"/>
          <w:szCs w:val="21"/>
          <w:lang w:eastAsia="zh-CN"/>
        </w:rPr>
        <w:t>二十</w:t>
      </w:r>
      <w:r>
        <w:rPr>
          <w:rFonts w:hint="eastAsia" w:ascii="宋体" w:hAnsi="宋体"/>
          <w:b w:val="0"/>
          <w:bCs w:val="0"/>
          <w:sz w:val="21"/>
          <w:szCs w:val="21"/>
          <w:lang w:val="en-US" w:eastAsia="zh-CN"/>
        </w:rPr>
        <w:t>四</w:t>
      </w:r>
      <w:r>
        <w:rPr>
          <w:rFonts w:hint="eastAsia" w:ascii="宋体" w:hAnsi="宋体"/>
          <w:sz w:val="21"/>
          <w:szCs w:val="21"/>
        </w:rPr>
        <w:t>、</w:t>
      </w:r>
      <w:r>
        <w:rPr>
          <w:rFonts w:hint="eastAsia" w:ascii="宋体" w:hAnsi="宋体"/>
          <w:sz w:val="21"/>
          <w:szCs w:val="21"/>
          <w:lang w:val="en-US" w:eastAsia="zh-CN"/>
        </w:rPr>
        <w:t>橡胶和塑料制品业</w:t>
      </w:r>
      <w:r>
        <w:rPr>
          <w:rFonts w:hint="eastAsia" w:ascii="宋体" w:hAnsi="宋体"/>
          <w:sz w:val="21"/>
          <w:szCs w:val="21"/>
        </w:rPr>
        <w:t xml:space="preserve"> </w:t>
      </w:r>
      <w:r>
        <w:rPr>
          <w:rFonts w:hint="eastAsia" w:ascii="宋体" w:hAnsi="宋体"/>
          <w:sz w:val="21"/>
          <w:szCs w:val="21"/>
          <w:lang w:val="en-US" w:eastAsia="zh-CN"/>
        </w:rPr>
        <w:t>29</w:t>
      </w:r>
      <w:r>
        <w:rPr>
          <w:rFonts w:hint="eastAsia" w:ascii="宋体" w:hAnsi="宋体"/>
          <w:sz w:val="21"/>
          <w:szCs w:val="21"/>
        </w:rPr>
        <w:t>，</w:t>
      </w:r>
      <w:r>
        <w:rPr>
          <w:rFonts w:hint="eastAsia" w:ascii="宋体" w:hAnsi="宋体"/>
          <w:sz w:val="21"/>
          <w:szCs w:val="21"/>
          <w:lang w:val="en-US" w:eastAsia="zh-CN"/>
        </w:rPr>
        <w:t>62塑料制品业292中塑料零件及其他塑料制品制造2929</w:t>
      </w:r>
      <w:r>
        <w:rPr>
          <w:rFonts w:hint="eastAsia" w:ascii="宋体" w:hAnsi="宋体"/>
          <w:sz w:val="21"/>
          <w:szCs w:val="21"/>
        </w:rPr>
        <w:t>”，应实行排污许可</w:t>
      </w:r>
      <w:r>
        <w:rPr>
          <w:rFonts w:hint="eastAsia" w:ascii="宋体" w:hAnsi="宋体"/>
          <w:sz w:val="21"/>
          <w:szCs w:val="21"/>
          <w:lang w:val="en-US" w:eastAsia="zh-CN"/>
        </w:rPr>
        <w:t>登记</w:t>
      </w:r>
      <w:r>
        <w:rPr>
          <w:rFonts w:hint="eastAsia" w:ascii="宋体" w:hAnsi="宋体"/>
          <w:sz w:val="21"/>
          <w:szCs w:val="21"/>
        </w:rPr>
        <w:t>管理；</w:t>
      </w:r>
    </w:p>
    <w:p>
      <w:pPr>
        <w:adjustRightInd w:val="0"/>
        <w:spacing w:line="400" w:lineRule="exact"/>
        <w:ind w:firstLine="420" w:firstLineChars="200"/>
        <w:jc w:val="left"/>
        <w:rPr>
          <w:rFonts w:hint="eastAsia" w:ascii="宋体" w:hAnsi="宋体"/>
          <w:sz w:val="21"/>
          <w:szCs w:val="21"/>
        </w:rPr>
      </w:pPr>
    </w:p>
    <w:p>
      <w:pPr>
        <w:pStyle w:val="10"/>
        <w:numPr>
          <w:ilvl w:val="0"/>
          <w:numId w:val="0"/>
        </w:numPr>
        <w:adjustRightInd w:val="0"/>
        <w:ind w:leftChars="0"/>
      </w:pPr>
      <w:r>
        <w:rPr>
          <w:rFonts w:hint="eastAsia" w:ascii="宋体" w:hAnsi="宋体"/>
          <w:b/>
          <w:bCs/>
          <w:sz w:val="21"/>
          <w:szCs w:val="21"/>
          <w:lang w:val="en-US" w:eastAsia="zh-CN"/>
        </w:rPr>
        <w:t>2、</w:t>
      </w:r>
      <w:r>
        <w:rPr>
          <w:rFonts w:hint="eastAsia" w:ascii="宋体" w:hAnsi="宋体"/>
          <w:b/>
          <w:bCs/>
          <w:sz w:val="21"/>
          <w:szCs w:val="21"/>
        </w:rPr>
        <w:t>项目位置图</w:t>
      </w:r>
    </w:p>
    <w:p>
      <w:pPr>
        <w:adjustRightInd w:val="0"/>
        <w:rPr>
          <w:rFonts w:hint="eastAsia"/>
          <w:lang w:val="en-US" w:eastAsia="zh-CN"/>
        </w:rPr>
      </w:pPr>
      <w:r>
        <w:rPr>
          <w:rFonts w:hint="eastAsia"/>
          <w:lang w:val="en-US" w:eastAsia="zh-CN"/>
        </w:rPr>
        <w:drawing>
          <wp:inline distT="0" distB="0" distL="114300" distR="114300">
            <wp:extent cx="5272405" cy="4451985"/>
            <wp:effectExtent l="0" t="0" r="4445" b="5715"/>
            <wp:docPr id="1" name="图片 1" descr="171134108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11341085445"/>
                    <pic:cNvPicPr>
                      <a:picLocks noChangeAspect="1"/>
                    </pic:cNvPicPr>
                  </pic:nvPicPr>
                  <pic:blipFill>
                    <a:blip r:embed="rId4"/>
                    <a:stretch>
                      <a:fillRect/>
                    </a:stretch>
                  </pic:blipFill>
                  <pic:spPr>
                    <a:xfrm>
                      <a:off x="0" y="0"/>
                      <a:ext cx="5272405" cy="4451985"/>
                    </a:xfrm>
                    <a:prstGeom prst="rect">
                      <a:avLst/>
                    </a:prstGeom>
                  </pic:spPr>
                </pic:pic>
              </a:graphicData>
            </a:graphic>
          </wp:inline>
        </w:drawing>
      </w:r>
    </w:p>
    <w:p>
      <w:pPr>
        <w:adjustRightInd w:val="0"/>
        <w:rPr>
          <w:rFonts w:hint="eastAsia"/>
          <w:lang w:val="en-US" w:eastAsia="zh-CN"/>
        </w:rPr>
      </w:pPr>
    </w:p>
    <w:p>
      <w:pPr>
        <w:adjustRightInd w:val="0"/>
        <w:rPr>
          <w:rFonts w:hint="eastAsia"/>
          <w:lang w:val="en-US" w:eastAsia="zh-CN"/>
        </w:rPr>
      </w:pPr>
    </w:p>
    <w:p>
      <w:pPr>
        <w:adjustRightInd w:val="0"/>
        <w:rPr>
          <w:rFonts w:hint="eastAsia"/>
          <w:lang w:val="en-US" w:eastAsia="zh-CN"/>
        </w:rPr>
      </w:pPr>
    </w:p>
    <w:p>
      <w:pPr>
        <w:adjustRightInd w:val="0"/>
        <w:rPr>
          <w:rFonts w:hint="eastAsia"/>
          <w:lang w:val="en-US" w:eastAsia="zh-CN"/>
        </w:rPr>
      </w:pPr>
    </w:p>
    <w:p>
      <w:pPr>
        <w:adjustRightInd w:val="0"/>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 xml:space="preserve"> 3、三线一单对照图</w:t>
      </w:r>
    </w:p>
    <w:p>
      <w:pPr>
        <w:adjustRightInd w:val="0"/>
        <w:rPr>
          <w:rFonts w:hint="default"/>
          <w:lang w:val="en-US" w:eastAsia="zh-CN"/>
        </w:rPr>
      </w:pPr>
      <w:r>
        <w:rPr>
          <w:rFonts w:hint="default"/>
          <w:lang w:val="en-US" w:eastAsia="zh-CN"/>
        </w:rPr>
        <w:drawing>
          <wp:inline distT="0" distB="0" distL="114300" distR="114300">
            <wp:extent cx="5274310" cy="3735705"/>
            <wp:effectExtent l="0" t="0" r="2540" b="17145"/>
            <wp:docPr id="2" name="图片 2" descr="171109388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11093883628"/>
                    <pic:cNvPicPr>
                      <a:picLocks noChangeAspect="1"/>
                    </pic:cNvPicPr>
                  </pic:nvPicPr>
                  <pic:blipFill>
                    <a:blip r:embed="rId5"/>
                    <a:stretch>
                      <a:fillRect/>
                    </a:stretch>
                  </pic:blipFill>
                  <pic:spPr>
                    <a:xfrm>
                      <a:off x="0" y="0"/>
                      <a:ext cx="5274310" cy="3735705"/>
                    </a:xfrm>
                    <a:prstGeom prst="rect">
                      <a:avLst/>
                    </a:prstGeom>
                  </pic:spPr>
                </pic:pic>
              </a:graphicData>
            </a:graphic>
          </wp:inline>
        </w:drawing>
      </w:r>
    </w:p>
    <w:p>
      <w:pPr>
        <w:pStyle w:val="10"/>
        <w:numPr>
          <w:ilvl w:val="0"/>
          <w:numId w:val="0"/>
        </w:numPr>
        <w:adjustRightInd w:val="0"/>
        <w:spacing w:line="400" w:lineRule="exact"/>
        <w:ind w:leftChars="0"/>
        <w:rPr>
          <w:rFonts w:hint="eastAsia" w:ascii="宋体" w:hAnsi="宋体"/>
          <w:b/>
          <w:bCs/>
          <w:sz w:val="21"/>
          <w:szCs w:val="21"/>
        </w:rPr>
      </w:pPr>
      <w:r>
        <w:rPr>
          <w:rFonts w:hint="eastAsia" w:ascii="宋体" w:hAnsi="宋体"/>
          <w:b/>
          <w:bCs/>
          <w:sz w:val="21"/>
          <w:szCs w:val="21"/>
          <w:lang w:val="en-US" w:eastAsia="zh-CN"/>
        </w:rPr>
        <w:t>4、</w:t>
      </w:r>
      <w:r>
        <w:rPr>
          <w:rFonts w:hint="eastAsia" w:ascii="宋体" w:hAnsi="宋体"/>
          <w:b/>
          <w:bCs/>
          <w:sz w:val="21"/>
          <w:szCs w:val="21"/>
        </w:rPr>
        <w:t>符合性分析</w:t>
      </w:r>
    </w:p>
    <w:p>
      <w:pPr>
        <w:pStyle w:val="10"/>
        <w:numPr>
          <w:ilvl w:val="0"/>
          <w:numId w:val="0"/>
        </w:numPr>
        <w:adjustRightInd w:val="0"/>
        <w:spacing w:line="400" w:lineRule="exact"/>
        <w:ind w:leftChars="0" w:firstLine="422" w:firstLineChars="200"/>
        <w:rPr>
          <w:rFonts w:hint="eastAsia" w:ascii="宋体" w:hAnsi="宋体"/>
          <w:b/>
          <w:bCs/>
          <w:sz w:val="21"/>
          <w:szCs w:val="21"/>
          <w:lang w:val="en-US" w:eastAsia="zh-CN"/>
        </w:rPr>
      </w:pPr>
      <w:r>
        <w:rPr>
          <w:rFonts w:hint="eastAsia" w:ascii="宋体" w:hAnsi="宋体"/>
          <w:b/>
          <w:bCs/>
          <w:sz w:val="21"/>
          <w:szCs w:val="21"/>
          <w:lang w:val="en-US" w:eastAsia="zh-CN"/>
        </w:rPr>
        <w:t>（1）规划区基本情况</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杭州余杭义桥工业区规划范围东至禹航路，南至临余公路，西至自然山体，北至新015省道，规划范围总面积528.98公顷，城市建设用地面积331.13公顷。园区规划发展目标为：建设资源节约型、环境友好型生态工业园区；建设产业转型发展的社会和谐示范区；建设主导产业优势明显、技术水平高、土地利用佳、集聚效益好、生态环境优、带动能力强的现代化产业基地。</w:t>
      </w:r>
    </w:p>
    <w:p>
      <w:pPr>
        <w:adjustRightInd w:val="0"/>
        <w:spacing w:line="400" w:lineRule="exact"/>
        <w:ind w:firstLine="422" w:firstLineChars="200"/>
        <w:jc w:val="left"/>
        <w:rPr>
          <w:rFonts w:hint="eastAsia" w:ascii="宋体" w:hAnsi="宋体"/>
          <w:b/>
          <w:bCs/>
          <w:sz w:val="21"/>
          <w:szCs w:val="21"/>
          <w:lang w:val="en-US" w:eastAsia="zh-CN"/>
        </w:rPr>
      </w:pPr>
      <w:r>
        <w:rPr>
          <w:rFonts w:hint="eastAsia" w:ascii="宋体" w:hAnsi="宋体"/>
          <w:b/>
          <w:bCs/>
          <w:sz w:val="21"/>
          <w:szCs w:val="21"/>
          <w:lang w:val="en-US" w:eastAsia="zh-CN"/>
        </w:rPr>
        <w:t>（2）规划环评符合性分析</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本项目位于工业区中先进装备制造业片区，属于金属制品制造业，环境准入负面清单符合性分析详见表1-1。</w:t>
      </w:r>
    </w:p>
    <w:p>
      <w:pPr>
        <w:adjustRightInd w:val="0"/>
        <w:spacing w:line="400" w:lineRule="exact"/>
        <w:ind w:firstLine="422" w:firstLineChars="200"/>
        <w:jc w:val="center"/>
        <w:rPr>
          <w:rFonts w:hint="default" w:ascii="宋体" w:hAnsi="宋体"/>
          <w:b/>
          <w:bCs/>
          <w:sz w:val="21"/>
          <w:szCs w:val="21"/>
          <w:lang w:val="en-US" w:eastAsia="zh-CN"/>
        </w:rPr>
      </w:pPr>
      <w:r>
        <w:rPr>
          <w:rFonts w:hint="eastAsia" w:ascii="宋体" w:hAnsi="宋体"/>
          <w:b/>
          <w:bCs/>
          <w:sz w:val="21"/>
          <w:szCs w:val="21"/>
          <w:lang w:val="en-US" w:eastAsia="zh-CN"/>
        </w:rPr>
        <w:t>表1-1  环境准入负面清单符合性分析表</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626"/>
        <w:gridCol w:w="1006"/>
        <w:gridCol w:w="1336"/>
        <w:gridCol w:w="1744"/>
        <w:gridCol w:w="1311"/>
        <w:gridCol w:w="1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区域</w:t>
            </w:r>
          </w:p>
        </w:tc>
        <w:tc>
          <w:tcPr>
            <w:tcW w:w="957" w:type="pct"/>
            <w:gridSpan w:val="2"/>
            <w:vAlign w:val="center"/>
          </w:tcPr>
          <w:p>
            <w:pPr>
              <w:adjustRightInd w:val="0"/>
              <w:spacing w:line="400" w:lineRule="exact"/>
              <w:ind w:firstLine="420" w:firstLineChars="200"/>
              <w:jc w:val="left"/>
              <w:rPr>
                <w:rFonts w:hint="default" w:ascii="宋体" w:hAnsi="宋体"/>
                <w:sz w:val="21"/>
                <w:szCs w:val="21"/>
                <w:lang w:val="en-US" w:eastAsia="zh-CN"/>
              </w:rPr>
            </w:pPr>
            <w:r>
              <w:rPr>
                <w:rFonts w:hint="eastAsia" w:ascii="宋体" w:hAnsi="宋体"/>
                <w:sz w:val="21"/>
                <w:szCs w:val="21"/>
                <w:lang w:val="en-US" w:eastAsia="zh-CN"/>
              </w:rPr>
              <w:t>分类</w:t>
            </w:r>
          </w:p>
        </w:tc>
        <w:tc>
          <w:tcPr>
            <w:tcW w:w="784"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行业清单</w:t>
            </w:r>
          </w:p>
        </w:tc>
        <w:tc>
          <w:tcPr>
            <w:tcW w:w="1023" w:type="pct"/>
            <w:vAlign w:val="center"/>
          </w:tcPr>
          <w:p>
            <w:pPr>
              <w:adjustRightInd w:val="0"/>
              <w:spacing w:line="400" w:lineRule="exact"/>
              <w:ind w:firstLine="420" w:firstLineChars="200"/>
              <w:jc w:val="left"/>
              <w:rPr>
                <w:rFonts w:hint="default" w:ascii="宋体" w:hAnsi="宋体"/>
                <w:sz w:val="21"/>
                <w:szCs w:val="21"/>
                <w:lang w:val="en-US" w:eastAsia="zh-CN"/>
              </w:rPr>
            </w:pPr>
            <w:r>
              <w:rPr>
                <w:rFonts w:hint="eastAsia" w:ascii="宋体" w:hAnsi="宋体"/>
                <w:sz w:val="21"/>
                <w:szCs w:val="21"/>
                <w:lang w:val="en-US" w:eastAsia="zh-CN"/>
              </w:rPr>
              <w:t>工艺清单</w:t>
            </w:r>
          </w:p>
        </w:tc>
        <w:tc>
          <w:tcPr>
            <w:tcW w:w="769"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产品清单</w:t>
            </w:r>
          </w:p>
        </w:tc>
        <w:tc>
          <w:tcPr>
            <w:tcW w:w="1048" w:type="pct"/>
            <w:vAlign w:val="center"/>
          </w:tcPr>
          <w:p>
            <w:pPr>
              <w:adjustRightInd w:val="0"/>
              <w:spacing w:line="400" w:lineRule="exact"/>
              <w:ind w:firstLine="420" w:firstLineChars="200"/>
              <w:jc w:val="left"/>
              <w:rPr>
                <w:rFonts w:hint="default" w:ascii="宋体" w:hAnsi="宋体"/>
                <w:sz w:val="21"/>
                <w:szCs w:val="21"/>
                <w:lang w:val="en-US" w:eastAsia="zh-CN"/>
              </w:rPr>
            </w:pPr>
            <w:r>
              <w:rPr>
                <w:rFonts w:hint="eastAsia" w:ascii="宋体" w:hAnsi="宋体"/>
                <w:sz w:val="21"/>
                <w:szCs w:val="21"/>
                <w:lang w:val="en-US" w:eastAsia="zh-CN"/>
              </w:rPr>
              <w:t>制定依据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Merge w:val="restar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先进装备制造业片区</w:t>
            </w:r>
          </w:p>
        </w:tc>
        <w:tc>
          <w:tcPr>
            <w:tcW w:w="367" w:type="pct"/>
            <w:vMerge w:val="restar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禁止准入产业</w:t>
            </w:r>
          </w:p>
        </w:tc>
        <w:tc>
          <w:tcPr>
            <w:tcW w:w="590" w:type="pct"/>
            <w:vMerge w:val="restar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装备制造业</w:t>
            </w:r>
          </w:p>
        </w:tc>
        <w:tc>
          <w:tcPr>
            <w:tcW w:w="784"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二十、二十一、黑色、有色金属冶炼及压延加工</w:t>
            </w:r>
          </w:p>
        </w:tc>
        <w:tc>
          <w:tcPr>
            <w:tcW w:w="1023" w:type="pct"/>
            <w:vAlign w:val="center"/>
          </w:tcPr>
          <w:p>
            <w:pPr>
              <w:adjustRightInd w:val="0"/>
              <w:spacing w:line="400" w:lineRule="exact"/>
              <w:jc w:val="left"/>
              <w:rPr>
                <w:rFonts w:hint="eastAsia" w:ascii="宋体" w:hAnsi="宋体"/>
                <w:sz w:val="21"/>
                <w:szCs w:val="21"/>
                <w:lang w:val="en-US" w:eastAsia="zh-CN"/>
              </w:rPr>
            </w:pPr>
            <w:r>
              <w:rPr>
                <w:rFonts w:hint="eastAsia" w:ascii="宋体" w:hAnsi="宋体"/>
                <w:sz w:val="21"/>
                <w:szCs w:val="21"/>
                <w:lang w:val="en-US" w:eastAsia="zh-CN"/>
              </w:rPr>
              <w:t>1、炼钢、球团、烧结；炼钢；</w:t>
            </w:r>
          </w:p>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2、金属冶炼；铸造；</w:t>
            </w:r>
          </w:p>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3、冷轧（涉及酸洗、热处理工艺）。</w:t>
            </w:r>
          </w:p>
        </w:tc>
        <w:tc>
          <w:tcPr>
            <w:tcW w:w="769"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再生铝；电解铝；再生铜；有色金属合金制造产品。</w:t>
            </w:r>
          </w:p>
        </w:tc>
        <w:tc>
          <w:tcPr>
            <w:tcW w:w="1048"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《产业结构调整指导目录（2011年本）》（2013年修正）淘汰类、限制类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367"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590"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784"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二十二、金属制品业</w:t>
            </w:r>
          </w:p>
        </w:tc>
        <w:tc>
          <w:tcPr>
            <w:tcW w:w="1023"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电镀工艺、铸造、酸洗、磷化等前处理工艺、钝化。</w:t>
            </w:r>
          </w:p>
        </w:tc>
        <w:tc>
          <w:tcPr>
            <w:tcW w:w="769" w:type="pct"/>
            <w:vMerge w:val="restart"/>
            <w:vAlign w:val="center"/>
          </w:tcPr>
          <w:p>
            <w:pPr>
              <w:adjustRightInd w:val="0"/>
              <w:spacing w:line="400" w:lineRule="exact"/>
              <w:ind w:firstLine="420" w:firstLineChars="200"/>
              <w:jc w:val="left"/>
              <w:rPr>
                <w:rFonts w:hint="default" w:ascii="宋体" w:hAnsi="宋体"/>
                <w:sz w:val="21"/>
                <w:szCs w:val="21"/>
                <w:lang w:val="en-US" w:eastAsia="zh-CN"/>
              </w:rPr>
            </w:pPr>
            <w:r>
              <w:rPr>
                <w:rFonts w:hint="eastAsia" w:ascii="宋体" w:hAnsi="宋体"/>
                <w:sz w:val="21"/>
                <w:szCs w:val="21"/>
                <w:lang w:val="en-US" w:eastAsia="zh-CN"/>
              </w:rPr>
              <w:t>/</w:t>
            </w:r>
          </w:p>
        </w:tc>
        <w:tc>
          <w:tcPr>
            <w:tcW w:w="1048" w:type="pct"/>
            <w:vMerge w:val="restart"/>
            <w:vAlign w:val="center"/>
          </w:tcPr>
          <w:p>
            <w:pPr>
              <w:adjustRightInd w:val="0"/>
              <w:spacing w:line="400" w:lineRule="exact"/>
              <w:ind w:firstLine="420" w:firstLineChars="200"/>
              <w:jc w:val="left"/>
              <w:rPr>
                <w:rFonts w:hint="default" w:ascii="宋体" w:hAnsi="宋体"/>
                <w:sz w:val="21"/>
                <w:szCs w:val="21"/>
                <w:lang w:val="en-US" w:eastAsia="zh-CN"/>
              </w:rPr>
            </w:pPr>
            <w:r>
              <w:rPr>
                <w:rFonts w:hint="eastAsia" w:ascii="宋体" w:hAnsi="宋体"/>
                <w:sz w:val="21"/>
                <w:szCs w:val="21"/>
                <w:lang w:val="en-US" w:eastAsia="zh-CN"/>
              </w:rPr>
              <w:t>《产业结构调整指导目录（2011年本）》（2013年修正）。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367"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590"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784"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二十三、二十四、通用设施制造、专用设备制造</w:t>
            </w:r>
          </w:p>
        </w:tc>
        <w:tc>
          <w:tcPr>
            <w:tcW w:w="1023"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电镀工艺、铸造、酸洗、磷化等前处理工艺。</w:t>
            </w:r>
          </w:p>
        </w:tc>
        <w:tc>
          <w:tcPr>
            <w:tcW w:w="769"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1048"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367"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590" w:type="pct"/>
            <w:vMerge w:val="restar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汽车、摩托车及配件制造业</w:t>
            </w:r>
          </w:p>
        </w:tc>
        <w:tc>
          <w:tcPr>
            <w:tcW w:w="784"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二十五、汽车制造业</w:t>
            </w:r>
          </w:p>
        </w:tc>
        <w:tc>
          <w:tcPr>
            <w:tcW w:w="1023"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电镀工艺、铸造、酸洗、磷化等前处理工艺。</w:t>
            </w:r>
          </w:p>
        </w:tc>
        <w:tc>
          <w:tcPr>
            <w:tcW w:w="769" w:type="pct"/>
            <w:vAlign w:val="center"/>
          </w:tcPr>
          <w:p>
            <w:pPr>
              <w:adjustRightInd w:val="0"/>
              <w:spacing w:line="400" w:lineRule="exact"/>
              <w:ind w:firstLine="420" w:firstLineChars="200"/>
              <w:jc w:val="left"/>
              <w:rPr>
                <w:rFonts w:hint="default" w:ascii="宋体" w:hAnsi="宋体"/>
                <w:sz w:val="21"/>
                <w:szCs w:val="21"/>
                <w:lang w:val="en-US" w:eastAsia="zh-CN"/>
              </w:rPr>
            </w:pPr>
            <w:r>
              <w:rPr>
                <w:rFonts w:hint="eastAsia" w:ascii="宋体" w:hAnsi="宋体"/>
                <w:sz w:val="21"/>
                <w:szCs w:val="21"/>
                <w:lang w:val="en-US" w:eastAsia="zh-CN"/>
              </w:rPr>
              <w:t>/</w:t>
            </w:r>
          </w:p>
        </w:tc>
        <w:tc>
          <w:tcPr>
            <w:tcW w:w="1048"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367"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590"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784"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二十六、铁路、船舶、航空航天和其他运输设备制造业</w:t>
            </w:r>
          </w:p>
        </w:tc>
        <w:tc>
          <w:tcPr>
            <w:tcW w:w="1023"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电镀工艺、铸造、酸洗、磷化等前处理工艺；废旧船舶滩涂拆解工艺。</w:t>
            </w:r>
          </w:p>
        </w:tc>
        <w:tc>
          <w:tcPr>
            <w:tcW w:w="769" w:type="pct"/>
            <w:vAlign w:val="center"/>
          </w:tcPr>
          <w:p>
            <w:pPr>
              <w:adjustRightInd w:val="0"/>
              <w:spacing w:line="400" w:lineRule="exact"/>
              <w:ind w:firstLine="420" w:firstLineChars="200"/>
              <w:jc w:val="left"/>
              <w:rPr>
                <w:rFonts w:hint="default" w:ascii="宋体" w:hAnsi="宋体"/>
                <w:sz w:val="21"/>
                <w:szCs w:val="21"/>
                <w:lang w:val="en-US" w:eastAsia="zh-CN"/>
              </w:rPr>
            </w:pPr>
            <w:r>
              <w:rPr>
                <w:rFonts w:hint="eastAsia" w:ascii="宋体" w:hAnsi="宋体"/>
                <w:sz w:val="21"/>
                <w:szCs w:val="21"/>
                <w:lang w:val="en-US" w:eastAsia="zh-CN"/>
              </w:rPr>
              <w:t>/</w:t>
            </w:r>
          </w:p>
        </w:tc>
        <w:tc>
          <w:tcPr>
            <w:tcW w:w="1048"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367" w:type="pct"/>
            <w:vMerge w:val="restar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限制准入产业</w:t>
            </w:r>
          </w:p>
        </w:tc>
        <w:tc>
          <w:tcPr>
            <w:tcW w:w="590" w:type="pct"/>
            <w:vMerge w:val="restar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装备制造业</w:t>
            </w:r>
          </w:p>
        </w:tc>
        <w:tc>
          <w:tcPr>
            <w:tcW w:w="784"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二十二、金属制品业</w:t>
            </w:r>
          </w:p>
        </w:tc>
        <w:tc>
          <w:tcPr>
            <w:tcW w:w="1023"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喷漆（使用油性油漆）。</w:t>
            </w:r>
          </w:p>
        </w:tc>
        <w:tc>
          <w:tcPr>
            <w:tcW w:w="769" w:type="pct"/>
            <w:vAlign w:val="center"/>
          </w:tcPr>
          <w:p>
            <w:pPr>
              <w:adjustRightInd w:val="0"/>
              <w:spacing w:line="400" w:lineRule="exact"/>
              <w:ind w:firstLine="420" w:firstLineChars="200"/>
              <w:jc w:val="left"/>
              <w:rPr>
                <w:rFonts w:hint="default" w:ascii="宋体" w:hAnsi="宋体"/>
                <w:sz w:val="21"/>
                <w:szCs w:val="21"/>
                <w:lang w:val="en-US" w:eastAsia="zh-CN"/>
              </w:rPr>
            </w:pPr>
            <w:r>
              <w:rPr>
                <w:rFonts w:hint="eastAsia" w:ascii="宋体" w:hAnsi="宋体"/>
                <w:sz w:val="21"/>
                <w:szCs w:val="21"/>
                <w:lang w:val="en-US" w:eastAsia="zh-CN"/>
              </w:rPr>
              <w:t>/</w:t>
            </w:r>
          </w:p>
        </w:tc>
        <w:tc>
          <w:tcPr>
            <w:tcW w:w="1048" w:type="pct"/>
            <w:vMerge w:val="restar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控制废水、废气污染。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367"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590"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784"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二十三、二十四、通用设备制造、专用设备制造</w:t>
            </w:r>
          </w:p>
        </w:tc>
        <w:tc>
          <w:tcPr>
            <w:tcW w:w="1023"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喷漆（使用油性油漆）。</w:t>
            </w:r>
          </w:p>
        </w:tc>
        <w:tc>
          <w:tcPr>
            <w:tcW w:w="769" w:type="pct"/>
            <w:vAlign w:val="center"/>
          </w:tcPr>
          <w:p>
            <w:pPr>
              <w:adjustRightInd w:val="0"/>
              <w:spacing w:line="400" w:lineRule="exact"/>
              <w:ind w:firstLine="420" w:firstLineChars="200"/>
              <w:jc w:val="left"/>
              <w:rPr>
                <w:rFonts w:hint="default" w:ascii="宋体" w:hAnsi="宋体"/>
                <w:sz w:val="21"/>
                <w:szCs w:val="21"/>
                <w:lang w:val="en-US" w:eastAsia="zh-CN"/>
              </w:rPr>
            </w:pPr>
            <w:r>
              <w:rPr>
                <w:rFonts w:hint="eastAsia" w:ascii="宋体" w:hAnsi="宋体"/>
                <w:sz w:val="21"/>
                <w:szCs w:val="21"/>
                <w:lang w:val="en-US" w:eastAsia="zh-CN"/>
              </w:rPr>
              <w:t>/</w:t>
            </w:r>
          </w:p>
        </w:tc>
        <w:tc>
          <w:tcPr>
            <w:tcW w:w="1048"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367"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590" w:type="pct"/>
            <w:vMerge w:val="restar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汽车、摩托车及配件制造业</w:t>
            </w:r>
          </w:p>
        </w:tc>
        <w:tc>
          <w:tcPr>
            <w:tcW w:w="784"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二十五、汽车制造业</w:t>
            </w:r>
          </w:p>
        </w:tc>
        <w:tc>
          <w:tcPr>
            <w:tcW w:w="1023"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喷漆（使用油性油漆）。</w:t>
            </w:r>
          </w:p>
        </w:tc>
        <w:tc>
          <w:tcPr>
            <w:tcW w:w="769" w:type="pct"/>
            <w:vAlign w:val="center"/>
          </w:tcPr>
          <w:p>
            <w:pPr>
              <w:adjustRightInd w:val="0"/>
              <w:spacing w:line="400" w:lineRule="exact"/>
              <w:ind w:firstLine="420" w:firstLineChars="200"/>
              <w:jc w:val="left"/>
              <w:rPr>
                <w:rFonts w:hint="default" w:ascii="宋体" w:hAnsi="宋体"/>
                <w:sz w:val="21"/>
                <w:szCs w:val="21"/>
                <w:lang w:val="en-US" w:eastAsia="zh-CN"/>
              </w:rPr>
            </w:pPr>
            <w:r>
              <w:rPr>
                <w:rFonts w:hint="eastAsia" w:ascii="宋体" w:hAnsi="宋体"/>
                <w:sz w:val="21"/>
                <w:szCs w:val="21"/>
                <w:lang w:val="en-US" w:eastAsia="zh-CN"/>
              </w:rPr>
              <w:t>/</w:t>
            </w:r>
          </w:p>
        </w:tc>
        <w:tc>
          <w:tcPr>
            <w:tcW w:w="1048" w:type="pct"/>
            <w:vMerge w:val="restar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控制废水、废气污染。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367"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590"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784"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二十六、铁路、船舶、航空航天和其他运输设备制造业</w:t>
            </w:r>
          </w:p>
        </w:tc>
        <w:tc>
          <w:tcPr>
            <w:tcW w:w="1023"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喷漆（使用油性油漆）。</w:t>
            </w:r>
          </w:p>
        </w:tc>
        <w:tc>
          <w:tcPr>
            <w:tcW w:w="769" w:type="pct"/>
            <w:vAlign w:val="center"/>
          </w:tcPr>
          <w:p>
            <w:pPr>
              <w:adjustRightInd w:val="0"/>
              <w:spacing w:line="400" w:lineRule="exact"/>
              <w:ind w:firstLine="420" w:firstLineChars="200"/>
              <w:jc w:val="left"/>
              <w:rPr>
                <w:rFonts w:hint="default" w:ascii="宋体" w:hAnsi="宋体"/>
                <w:sz w:val="21"/>
                <w:szCs w:val="21"/>
                <w:lang w:val="en-US" w:eastAsia="zh-CN"/>
              </w:rPr>
            </w:pPr>
            <w:r>
              <w:rPr>
                <w:rFonts w:hint="eastAsia" w:ascii="宋体" w:hAnsi="宋体"/>
                <w:sz w:val="21"/>
                <w:szCs w:val="21"/>
                <w:lang w:val="en-US" w:eastAsia="zh-CN"/>
              </w:rPr>
              <w:t>/</w:t>
            </w:r>
          </w:p>
        </w:tc>
        <w:tc>
          <w:tcPr>
            <w:tcW w:w="1048"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pPr>
              <w:adjustRightInd w:val="0"/>
              <w:spacing w:line="400" w:lineRule="exact"/>
              <w:ind w:firstLine="420" w:firstLineChars="200"/>
              <w:jc w:val="left"/>
              <w:rPr>
                <w:rFonts w:hint="default" w:ascii="宋体" w:hAnsi="宋体"/>
                <w:sz w:val="21"/>
                <w:szCs w:val="21"/>
                <w:lang w:val="en-US" w:eastAsia="zh-CN"/>
              </w:rPr>
            </w:pPr>
            <w:r>
              <w:rPr>
                <w:rFonts w:hint="eastAsia" w:ascii="宋体" w:hAnsi="宋体"/>
                <w:sz w:val="21"/>
                <w:szCs w:val="21"/>
                <w:lang w:val="en-US" w:eastAsia="zh-CN"/>
              </w:rPr>
              <w:t>符合性分析：本项目属于塑料制品业，位于先进装备制造业片区。项目工艺不涉及电镀工艺、铸造、酸洗、磷化等前处理工艺、钝化；项目也不涉及喷漆（使用油性油漆）。项目不在园区的禁止准入产业和限制准入产业名录内，故本项目符合园区规划环评要求。</w:t>
            </w:r>
          </w:p>
        </w:tc>
      </w:tr>
    </w:tbl>
    <w:p>
      <w:pPr>
        <w:adjustRightInd w:val="0"/>
        <w:spacing w:line="400" w:lineRule="exact"/>
        <w:ind w:firstLine="422" w:firstLineChars="200"/>
        <w:jc w:val="left"/>
        <w:rPr>
          <w:rFonts w:hint="eastAsia" w:ascii="宋体" w:hAnsi="宋体"/>
          <w:b/>
          <w:bCs/>
          <w:sz w:val="21"/>
          <w:szCs w:val="21"/>
          <w:lang w:val="en-US" w:eastAsia="zh-CN"/>
        </w:rPr>
      </w:pPr>
    </w:p>
    <w:p>
      <w:pPr>
        <w:adjustRightInd w:val="0"/>
        <w:spacing w:line="400" w:lineRule="exact"/>
        <w:ind w:firstLine="422" w:firstLineChars="200"/>
        <w:jc w:val="left"/>
        <w:rPr>
          <w:rFonts w:hint="eastAsia" w:ascii="宋体" w:hAnsi="宋体"/>
          <w:b/>
          <w:bCs/>
          <w:sz w:val="21"/>
          <w:szCs w:val="21"/>
          <w:lang w:val="en-US" w:eastAsia="zh-CN"/>
        </w:rPr>
      </w:pPr>
      <w:r>
        <w:rPr>
          <w:rFonts w:hint="eastAsia" w:ascii="宋体" w:hAnsi="宋体"/>
          <w:b/>
          <w:bCs/>
          <w:sz w:val="21"/>
          <w:szCs w:val="21"/>
          <w:lang w:val="en-US" w:eastAsia="zh-CN"/>
        </w:rPr>
        <w:t>（3）“三线一单”要求符合性分析</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①生态保护红线</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本项目位于杭州市余杭区余杭街道义桥工业区新庵前98号1幢102室、407室，租赁杭州鸿恰科技有限公司现有闲置厂房，对照《杭州市余杭区生态保护红线划定方案》（2017），项目不在杭州市余杭区生态保护红线范围内。</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②环境质量底线</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项目所在区域环境质量底线为：地表水环境质量达到《地表水环境质量标准》（GB3838-2002）中的Ⅱ类标准；声环境质量达到《声环境质量标准》（GB3096-2008）中的3类标准；大气环境质量达到《环境空气质量标准》（GB3095-2012）的二级标准。</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根据</w:t>
      </w:r>
      <w:r>
        <w:rPr>
          <w:rFonts w:hint="default" w:ascii="宋体" w:hAnsi="宋体"/>
          <w:sz w:val="21"/>
          <w:szCs w:val="21"/>
          <w:lang w:val="en-US" w:eastAsia="zh-CN"/>
        </w:rPr>
        <w:t>《</w:t>
      </w:r>
      <w:r>
        <w:rPr>
          <w:rFonts w:hint="eastAsia" w:ascii="宋体" w:hAnsi="宋体"/>
          <w:sz w:val="21"/>
          <w:szCs w:val="21"/>
          <w:lang w:val="en-US" w:eastAsia="zh-CN"/>
        </w:rPr>
        <w:t>2021年</w:t>
      </w:r>
      <w:r>
        <w:rPr>
          <w:rFonts w:hint="default" w:ascii="宋体" w:hAnsi="宋体"/>
          <w:sz w:val="21"/>
          <w:szCs w:val="21"/>
          <w:lang w:val="en-US" w:eastAsia="zh-CN"/>
        </w:rPr>
        <w:t>杭州市生态环境状况公报》中的数据</w:t>
      </w:r>
      <w:r>
        <w:rPr>
          <w:rFonts w:hint="eastAsia" w:ascii="宋体" w:hAnsi="宋体"/>
          <w:sz w:val="21"/>
          <w:szCs w:val="21"/>
          <w:lang w:val="en-US" w:eastAsia="zh-CN"/>
        </w:rPr>
        <w:t>，项目所在区域为大气环境质量不达标区。根据《杭州市空气质量改善“十四五”规划》，规划目标为：“十四五”时期，杭州市持续深化“五气共治”，实现全市大气主要污染物排放总量持续减少目标，环境空气质量进一步改善。到2025年，O3上升趋势得到有效控制，基本消除中度污染天气，力争超额完成省下达的NOx及VOCs减排目标。重点任务包括：深化治理“工业废气”、重点治理“车船尾气”、精细治理“扬尘灰气”、持续治理“燃煤烟气”、长效治理“城乡排气”、加快推动“数智治气”、积极探索“协同治理”、加强大气污染应急管控能力、全面保障重大活动会议空气质量等九个方面。随着区域大气污染物防治工作的持续有效推进，预计区域整体环境空气质量将会有所改善。</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根据智慧河道云平台提供的项目所在地附近地表水体义桥港监测断面2021年1~2月的相关监测数据，本项目所在地附近地表水体义桥港水质不能达到《地表水环境质量标准》（GB3838-2002）中Ⅱ类标准，水质为Ⅴ类。根据《杭州市生态环境保护“十四五”规划》（杭环发[2021]66号），杭州市计划到2025年地表水市控断面达到或优于Ⅲ类水质比例实现100%，提出：1.美丽河湖、幸福河湖建设、2.深化“污水零直排区建设”、3.保障饮用水水源地安全、4.生态缓冲带建设、5.污水处理设施建设、6.近岸海域污染防治、7.实施太湖流域总氮、总磷控制，7方面水环境质量提升行动并组织落实。根据《杭州市重点流域水生态环境保护“十四五”规划》（杭环发[2021]45号），杭州市计划到2025年，全市水生态环境质量实现“三无、两提升、三个百分百”，即：城市建成区无黑臭水体，地表水无劣Ⅴ类水体，无断流（干涸）河流；市控以上地表水优良（达到或优于Ⅲ类）比例与水生生物完整性有不同程度的提升，县级以上城市集中式饮用水水源达到或优于Ⅲ类比例达到100%，地表水市控以上断面水质达标率100%，国家重要水功能区达标率达到100%。同时针对苕溪流域提出推进流域污染治理、加强水资源保护、强化水生态保护与修复、加强区域联防共保等多方面要求并组织实施。随着《杭州市生态环境保护“十四五”规划》（杭环发[2021]66号）等文件的实施，区域河道水质将持续改善。</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本项目产生的废水、废气、噪声经治理后能达标排放，固废可做到无害化处理。采取本环评提出的相关防治措施后，本项目排放的污染物不会对区域环境质量底线造成冲击。</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③资源利用上线</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本项目租赁现有厂房，不新增用地。项目运营过程中水、电、天然气等资源消耗量相对区域资源利用总量较少，所用原辅材料中不涉及原煤、柴油等能源消耗，不会突破地区能源、水、土地等资源消耗上线，不触及资源利用上线。</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④生态环境准入清单</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根据《杭州市“三线一单”生态环境分区管控方案》（2020年），本项目建设地属于“余杭区余杭组团产业集聚重点管控单元”，环境管控单元编码：ZH33011020006，符合性分析见下表1-2。</w:t>
      </w:r>
    </w:p>
    <w:p>
      <w:pPr>
        <w:pStyle w:val="13"/>
        <w:keepNext w:val="0"/>
        <w:keepLines w:val="0"/>
        <w:pageBreakBefore w:val="0"/>
        <w:widowControl w:val="0"/>
        <w:kinsoku/>
        <w:wordWrap/>
        <w:overflowPunct/>
        <w:topLinePunct w:val="0"/>
        <w:autoSpaceDE/>
        <w:autoSpaceDN/>
        <w:bidi w:val="0"/>
        <w:snapToGrid/>
        <w:spacing w:before="120" w:line="240" w:lineRule="auto"/>
        <w:textAlignment w:val="auto"/>
      </w:pPr>
      <w:r>
        <w:rPr>
          <w:rFonts w:hint="eastAsia"/>
        </w:rPr>
        <w:t>表1-</w:t>
      </w:r>
      <w:r>
        <w:rPr>
          <w:rFonts w:hint="eastAsia"/>
          <w:lang w:val="en-US" w:eastAsia="zh-CN"/>
        </w:rPr>
        <w:t>2</w:t>
      </w:r>
      <w:r>
        <w:rPr>
          <w:rFonts w:hint="eastAsia"/>
        </w:rPr>
        <w:t xml:space="preserve">  项目环境管控单元符合性分析</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5"/>
        <w:gridCol w:w="701"/>
        <w:gridCol w:w="3319"/>
        <w:gridCol w:w="3529"/>
        <w:gridCol w:w="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pPr>
              <w:pStyle w:val="16"/>
              <w:keepNext w:val="0"/>
              <w:keepLines w:val="0"/>
              <w:pageBreakBefore w:val="0"/>
              <w:widowControl w:val="0"/>
              <w:kinsoku/>
              <w:wordWrap/>
              <w:overflowPunct/>
              <w:topLinePunct w:val="0"/>
              <w:autoSpaceDE/>
              <w:autoSpaceDN/>
              <w:bidi w:val="0"/>
              <w:snapToGrid/>
              <w:spacing w:line="240" w:lineRule="auto"/>
              <w:textAlignment w:val="auto"/>
            </w:pPr>
            <w:r>
              <w:rPr>
                <w:rFonts w:hint="eastAsia"/>
              </w:rPr>
              <w:t>序号</w:t>
            </w:r>
          </w:p>
        </w:tc>
        <w:tc>
          <w:tcPr>
            <w:tcW w:w="411" w:type="pct"/>
            <w:vAlign w:val="center"/>
          </w:tcPr>
          <w:p>
            <w:pPr>
              <w:pStyle w:val="16"/>
              <w:keepNext w:val="0"/>
              <w:keepLines w:val="0"/>
              <w:pageBreakBefore w:val="0"/>
              <w:widowControl w:val="0"/>
              <w:kinsoku/>
              <w:wordWrap/>
              <w:overflowPunct/>
              <w:topLinePunct w:val="0"/>
              <w:autoSpaceDE/>
              <w:autoSpaceDN/>
              <w:bidi w:val="0"/>
              <w:snapToGrid/>
              <w:spacing w:line="240" w:lineRule="auto"/>
              <w:textAlignment w:val="auto"/>
            </w:pPr>
            <w:r>
              <w:rPr>
                <w:rFonts w:hint="eastAsia"/>
              </w:rPr>
              <w:t>类别</w:t>
            </w:r>
          </w:p>
        </w:tc>
        <w:tc>
          <w:tcPr>
            <w:tcW w:w="1947" w:type="pct"/>
            <w:vAlign w:val="center"/>
          </w:tcPr>
          <w:p>
            <w:pPr>
              <w:pStyle w:val="16"/>
              <w:keepNext w:val="0"/>
              <w:keepLines w:val="0"/>
              <w:pageBreakBefore w:val="0"/>
              <w:widowControl w:val="0"/>
              <w:kinsoku/>
              <w:wordWrap/>
              <w:overflowPunct/>
              <w:topLinePunct w:val="0"/>
              <w:autoSpaceDE/>
              <w:autoSpaceDN/>
              <w:bidi w:val="0"/>
              <w:snapToGrid/>
              <w:spacing w:line="240" w:lineRule="auto"/>
              <w:textAlignment w:val="auto"/>
            </w:pPr>
            <w:r>
              <w:rPr>
                <w:rFonts w:hint="eastAsia"/>
              </w:rPr>
              <w:t>规定</w:t>
            </w:r>
          </w:p>
        </w:tc>
        <w:tc>
          <w:tcPr>
            <w:tcW w:w="2070" w:type="pct"/>
            <w:vAlign w:val="center"/>
          </w:tcPr>
          <w:p>
            <w:pPr>
              <w:pStyle w:val="16"/>
              <w:keepNext w:val="0"/>
              <w:keepLines w:val="0"/>
              <w:pageBreakBefore w:val="0"/>
              <w:widowControl w:val="0"/>
              <w:kinsoku/>
              <w:wordWrap/>
              <w:overflowPunct/>
              <w:topLinePunct w:val="0"/>
              <w:autoSpaceDE/>
              <w:autoSpaceDN/>
              <w:bidi w:val="0"/>
              <w:snapToGrid/>
              <w:spacing w:line="240" w:lineRule="auto"/>
              <w:textAlignment w:val="auto"/>
            </w:pPr>
            <w:r>
              <w:rPr>
                <w:rFonts w:hint="eastAsia"/>
              </w:rPr>
              <w:t>本项目</w:t>
            </w:r>
          </w:p>
        </w:tc>
        <w:tc>
          <w:tcPr>
            <w:tcW w:w="286" w:type="pct"/>
            <w:vAlign w:val="center"/>
          </w:tcPr>
          <w:p>
            <w:pPr>
              <w:pStyle w:val="16"/>
              <w:keepNext w:val="0"/>
              <w:keepLines w:val="0"/>
              <w:pageBreakBefore w:val="0"/>
              <w:widowControl w:val="0"/>
              <w:kinsoku/>
              <w:wordWrap/>
              <w:overflowPunct/>
              <w:topLinePunct w:val="0"/>
              <w:autoSpaceDE/>
              <w:autoSpaceDN/>
              <w:bidi w:val="0"/>
              <w:snapToGrid/>
              <w:spacing w:line="240" w:lineRule="auto"/>
              <w:textAlignment w:val="auto"/>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pPr>
              <w:pStyle w:val="16"/>
              <w:keepNext w:val="0"/>
              <w:keepLines w:val="0"/>
              <w:pageBreakBefore w:val="0"/>
              <w:widowControl w:val="0"/>
              <w:kinsoku/>
              <w:wordWrap/>
              <w:overflowPunct/>
              <w:topLinePunct w:val="0"/>
              <w:autoSpaceDE/>
              <w:autoSpaceDN/>
              <w:bidi w:val="0"/>
              <w:snapToGrid/>
              <w:spacing w:line="240" w:lineRule="auto"/>
              <w:textAlignment w:val="auto"/>
            </w:pPr>
            <w:r>
              <w:rPr>
                <w:rFonts w:hint="eastAsia"/>
              </w:rPr>
              <w:t>1</w:t>
            </w:r>
          </w:p>
        </w:tc>
        <w:tc>
          <w:tcPr>
            <w:tcW w:w="411" w:type="pct"/>
            <w:vAlign w:val="center"/>
          </w:tcPr>
          <w:p>
            <w:pPr>
              <w:pStyle w:val="16"/>
              <w:keepNext w:val="0"/>
              <w:keepLines w:val="0"/>
              <w:pageBreakBefore w:val="0"/>
              <w:widowControl w:val="0"/>
              <w:kinsoku/>
              <w:wordWrap/>
              <w:overflowPunct/>
              <w:topLinePunct w:val="0"/>
              <w:autoSpaceDE/>
              <w:autoSpaceDN/>
              <w:bidi w:val="0"/>
              <w:snapToGrid/>
              <w:spacing w:line="240" w:lineRule="auto"/>
              <w:textAlignment w:val="auto"/>
              <w:rPr>
                <w:rFonts w:hint="eastAsia"/>
              </w:rPr>
            </w:pPr>
            <w:r>
              <w:rPr>
                <w:rFonts w:hint="eastAsia"/>
              </w:rPr>
              <w:t>空间布局约束</w:t>
            </w:r>
          </w:p>
        </w:tc>
        <w:tc>
          <w:tcPr>
            <w:tcW w:w="1947" w:type="pct"/>
            <w:vAlign w:val="center"/>
          </w:tcPr>
          <w:p>
            <w:pPr>
              <w:pStyle w:val="16"/>
              <w:keepNext w:val="0"/>
              <w:keepLines w:val="0"/>
              <w:pageBreakBefore w:val="0"/>
              <w:widowControl w:val="0"/>
              <w:kinsoku/>
              <w:wordWrap/>
              <w:overflowPunct/>
              <w:topLinePunct w:val="0"/>
              <w:autoSpaceDE/>
              <w:autoSpaceDN/>
              <w:bidi w:val="0"/>
              <w:snapToGrid/>
              <w:spacing w:line="240" w:lineRule="auto"/>
              <w:jc w:val="both"/>
              <w:textAlignment w:val="auto"/>
              <w:rPr>
                <w:rFonts w:hint="eastAsia"/>
              </w:rPr>
            </w:pPr>
            <w:r>
              <w:rPr>
                <w:rFonts w:hint="eastAsia"/>
              </w:rPr>
              <w:t>根据产业集聚区块的功能定位，建立分区差别化的产业准入条件。合理规划居住区与工业功能区，在居住区和工业区、工业企业之间设置防护绿地、生活绿地等隔离带。</w:t>
            </w:r>
          </w:p>
        </w:tc>
        <w:tc>
          <w:tcPr>
            <w:tcW w:w="2070" w:type="pct"/>
            <w:vAlign w:val="center"/>
          </w:tcPr>
          <w:p>
            <w:pPr>
              <w:pStyle w:val="16"/>
              <w:keepNext w:val="0"/>
              <w:keepLines w:val="0"/>
              <w:pageBreakBefore w:val="0"/>
              <w:widowControl w:val="0"/>
              <w:kinsoku/>
              <w:wordWrap/>
              <w:overflowPunct/>
              <w:topLinePunct w:val="0"/>
              <w:autoSpaceDE/>
              <w:autoSpaceDN/>
              <w:bidi w:val="0"/>
              <w:snapToGrid/>
              <w:spacing w:line="240" w:lineRule="auto"/>
              <w:jc w:val="both"/>
              <w:textAlignment w:val="auto"/>
              <w:rPr>
                <w:rFonts w:hint="default" w:eastAsia="宋体"/>
                <w:lang w:val="en-US" w:eastAsia="zh-CN"/>
              </w:rPr>
            </w:pPr>
            <w:r>
              <w:rPr>
                <w:rFonts w:hint="eastAsia"/>
                <w:lang w:eastAsia="zh-CN"/>
              </w:rPr>
              <w:t>本项目主要从事</w:t>
            </w:r>
            <w:r>
              <w:rPr>
                <w:rFonts w:hint="eastAsia"/>
                <w:lang w:val="en-US" w:eastAsia="zh-CN"/>
              </w:rPr>
              <w:t>塑料制品办公家具</w:t>
            </w:r>
            <w:r>
              <w:rPr>
                <w:rFonts w:hint="eastAsia"/>
                <w:lang w:eastAsia="zh-CN"/>
              </w:rPr>
              <w:t>制造</w:t>
            </w:r>
            <w:r>
              <w:rPr>
                <w:rFonts w:hint="eastAsia"/>
                <w:lang w:val="en-US" w:eastAsia="zh-CN"/>
              </w:rPr>
              <w:t>，位于工业集聚区杭州余杭义桥工业区内，符合义桥工业区产业准入条件。企业所在工业区已在居住区、工业区、工业企业之间设置防护绿地、生活绿地等隔离带。</w:t>
            </w:r>
          </w:p>
        </w:tc>
        <w:tc>
          <w:tcPr>
            <w:tcW w:w="286" w:type="pct"/>
            <w:vAlign w:val="center"/>
          </w:tcPr>
          <w:p>
            <w:pPr>
              <w:pStyle w:val="16"/>
              <w:keepNext w:val="0"/>
              <w:keepLines w:val="0"/>
              <w:pageBreakBefore w:val="0"/>
              <w:widowControl w:val="0"/>
              <w:kinsoku/>
              <w:wordWrap/>
              <w:overflowPunct/>
              <w:topLinePunct w:val="0"/>
              <w:autoSpaceDE/>
              <w:autoSpaceDN/>
              <w:bidi w:val="0"/>
              <w:snapToGrid/>
              <w:spacing w:line="240" w:lineRule="auto"/>
              <w:jc w:val="both"/>
              <w:textAlignment w:val="auto"/>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pPr>
              <w:pStyle w:val="16"/>
              <w:keepNext w:val="0"/>
              <w:keepLines w:val="0"/>
              <w:pageBreakBefore w:val="0"/>
              <w:widowControl w:val="0"/>
              <w:kinsoku/>
              <w:wordWrap/>
              <w:overflowPunct/>
              <w:topLinePunct w:val="0"/>
              <w:autoSpaceDE/>
              <w:autoSpaceDN/>
              <w:bidi w:val="0"/>
              <w:snapToGrid/>
              <w:spacing w:line="240" w:lineRule="auto"/>
              <w:textAlignment w:val="auto"/>
            </w:pPr>
            <w:r>
              <w:rPr>
                <w:rFonts w:hint="eastAsia"/>
              </w:rPr>
              <w:t>2</w:t>
            </w:r>
          </w:p>
        </w:tc>
        <w:tc>
          <w:tcPr>
            <w:tcW w:w="411" w:type="pct"/>
            <w:vAlign w:val="center"/>
          </w:tcPr>
          <w:p>
            <w:pPr>
              <w:pStyle w:val="16"/>
              <w:keepNext w:val="0"/>
              <w:keepLines w:val="0"/>
              <w:pageBreakBefore w:val="0"/>
              <w:widowControl w:val="0"/>
              <w:kinsoku/>
              <w:wordWrap/>
              <w:overflowPunct/>
              <w:topLinePunct w:val="0"/>
              <w:autoSpaceDE/>
              <w:autoSpaceDN/>
              <w:bidi w:val="0"/>
              <w:snapToGrid/>
              <w:spacing w:line="240" w:lineRule="auto"/>
              <w:textAlignment w:val="auto"/>
              <w:rPr>
                <w:rFonts w:hint="eastAsia"/>
              </w:rPr>
            </w:pPr>
            <w:r>
              <w:rPr>
                <w:rFonts w:hint="eastAsia"/>
              </w:rPr>
              <w:t>污染物排放管控</w:t>
            </w:r>
          </w:p>
        </w:tc>
        <w:tc>
          <w:tcPr>
            <w:tcW w:w="1947" w:type="pct"/>
            <w:vAlign w:val="center"/>
          </w:tcPr>
          <w:p>
            <w:pPr>
              <w:pStyle w:val="16"/>
              <w:keepNext w:val="0"/>
              <w:keepLines w:val="0"/>
              <w:pageBreakBefore w:val="0"/>
              <w:widowControl w:val="0"/>
              <w:kinsoku/>
              <w:wordWrap/>
              <w:overflowPunct/>
              <w:topLinePunct w:val="0"/>
              <w:autoSpaceDE/>
              <w:autoSpaceDN/>
              <w:bidi w:val="0"/>
              <w:snapToGrid/>
              <w:spacing w:line="240" w:lineRule="auto"/>
              <w:jc w:val="both"/>
              <w:textAlignment w:val="auto"/>
              <w:rPr>
                <w:rFonts w:hint="eastAsia"/>
              </w:rPr>
            </w:pPr>
            <w:r>
              <w:rPr>
                <w:rFonts w:hint="eastAsia"/>
              </w:rPr>
              <w:t>严格实施污染物总量控制制度，根据区域环境质量改善目标，削减污染物排放总量。所有企业实现雨污分流。</w:t>
            </w:r>
          </w:p>
        </w:tc>
        <w:tc>
          <w:tcPr>
            <w:tcW w:w="2070" w:type="pct"/>
            <w:vAlign w:val="center"/>
          </w:tcPr>
          <w:p>
            <w:pPr>
              <w:pStyle w:val="16"/>
              <w:keepNext w:val="0"/>
              <w:keepLines w:val="0"/>
              <w:pageBreakBefore w:val="0"/>
              <w:widowControl w:val="0"/>
              <w:kinsoku/>
              <w:wordWrap/>
              <w:overflowPunct/>
              <w:topLinePunct w:val="0"/>
              <w:autoSpaceDE/>
              <w:autoSpaceDN/>
              <w:bidi w:val="0"/>
              <w:snapToGrid/>
              <w:spacing w:line="240" w:lineRule="auto"/>
              <w:jc w:val="both"/>
              <w:textAlignment w:val="auto"/>
              <w:rPr>
                <w:rFonts w:hint="eastAsia" w:eastAsia="宋体"/>
                <w:lang w:eastAsia="zh-CN"/>
              </w:rPr>
            </w:pPr>
            <w:r>
              <w:rPr>
                <w:rFonts w:hint="eastAsia"/>
                <w:lang w:eastAsia="zh-CN"/>
              </w:rPr>
              <w:t>项目严格实施污染物总量控制制度，且本项目排放的污染物均达标排放，项目所在地已实现雨污分流。</w:t>
            </w:r>
          </w:p>
        </w:tc>
        <w:tc>
          <w:tcPr>
            <w:tcW w:w="286" w:type="pct"/>
            <w:vAlign w:val="center"/>
          </w:tcPr>
          <w:p>
            <w:pPr>
              <w:pStyle w:val="16"/>
              <w:keepNext w:val="0"/>
              <w:keepLines w:val="0"/>
              <w:pageBreakBefore w:val="0"/>
              <w:widowControl w:val="0"/>
              <w:kinsoku/>
              <w:wordWrap/>
              <w:overflowPunct/>
              <w:topLinePunct w:val="0"/>
              <w:autoSpaceDE/>
              <w:autoSpaceDN/>
              <w:bidi w:val="0"/>
              <w:snapToGrid/>
              <w:spacing w:line="240" w:lineRule="auto"/>
              <w:jc w:val="both"/>
              <w:textAlignment w:val="auto"/>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85" w:type="pct"/>
            <w:vAlign w:val="center"/>
          </w:tcPr>
          <w:p>
            <w:pPr>
              <w:pStyle w:val="16"/>
              <w:keepNext w:val="0"/>
              <w:keepLines w:val="0"/>
              <w:pageBreakBefore w:val="0"/>
              <w:widowControl w:val="0"/>
              <w:kinsoku/>
              <w:wordWrap/>
              <w:overflowPunct/>
              <w:topLinePunct w:val="0"/>
              <w:autoSpaceDE/>
              <w:autoSpaceDN/>
              <w:bidi w:val="0"/>
              <w:snapToGrid/>
              <w:spacing w:line="240" w:lineRule="auto"/>
              <w:textAlignment w:val="auto"/>
            </w:pPr>
            <w:r>
              <w:rPr>
                <w:rFonts w:hint="eastAsia"/>
              </w:rPr>
              <w:t>3</w:t>
            </w:r>
          </w:p>
        </w:tc>
        <w:tc>
          <w:tcPr>
            <w:tcW w:w="411" w:type="pct"/>
            <w:vAlign w:val="center"/>
          </w:tcPr>
          <w:p>
            <w:pPr>
              <w:pStyle w:val="16"/>
              <w:keepNext w:val="0"/>
              <w:keepLines w:val="0"/>
              <w:pageBreakBefore w:val="0"/>
              <w:widowControl w:val="0"/>
              <w:kinsoku/>
              <w:wordWrap/>
              <w:overflowPunct/>
              <w:topLinePunct w:val="0"/>
              <w:autoSpaceDE/>
              <w:autoSpaceDN/>
              <w:bidi w:val="0"/>
              <w:snapToGrid/>
              <w:spacing w:line="240" w:lineRule="auto"/>
              <w:textAlignment w:val="auto"/>
              <w:rPr>
                <w:rFonts w:hint="eastAsia"/>
              </w:rPr>
            </w:pPr>
            <w:r>
              <w:rPr>
                <w:rFonts w:hint="eastAsia"/>
              </w:rPr>
              <w:t>环境风险防控</w:t>
            </w:r>
          </w:p>
        </w:tc>
        <w:tc>
          <w:tcPr>
            <w:tcW w:w="1947" w:type="pct"/>
            <w:vAlign w:val="center"/>
          </w:tcPr>
          <w:p>
            <w:pPr>
              <w:pStyle w:val="16"/>
              <w:keepNext w:val="0"/>
              <w:keepLines w:val="0"/>
              <w:pageBreakBefore w:val="0"/>
              <w:widowControl w:val="0"/>
              <w:kinsoku/>
              <w:wordWrap/>
              <w:overflowPunct/>
              <w:topLinePunct w:val="0"/>
              <w:autoSpaceDE/>
              <w:autoSpaceDN/>
              <w:bidi w:val="0"/>
              <w:snapToGrid/>
              <w:spacing w:line="240" w:lineRule="auto"/>
              <w:jc w:val="both"/>
              <w:textAlignment w:val="auto"/>
              <w:rPr>
                <w:rFonts w:hint="eastAsia"/>
              </w:rPr>
            </w:pPr>
            <w:r>
              <w:rPr>
                <w:rFonts w:hint="eastAsia"/>
              </w:rPr>
              <w:t>强化工业集聚区企业环境风险防范设施设备建设和正常运行监管，加强重点环境风险管控企业应急预案制定，建立常态化的企业隐患排查整治监管机制，加强风险防控体系建设。</w:t>
            </w:r>
          </w:p>
        </w:tc>
        <w:tc>
          <w:tcPr>
            <w:tcW w:w="2070" w:type="pct"/>
            <w:vAlign w:val="center"/>
          </w:tcPr>
          <w:p>
            <w:pPr>
              <w:pStyle w:val="16"/>
              <w:keepNext w:val="0"/>
              <w:keepLines w:val="0"/>
              <w:pageBreakBefore w:val="0"/>
              <w:widowControl w:val="0"/>
              <w:kinsoku/>
              <w:wordWrap/>
              <w:overflowPunct/>
              <w:topLinePunct w:val="0"/>
              <w:autoSpaceDE/>
              <w:autoSpaceDN/>
              <w:bidi w:val="0"/>
              <w:snapToGrid/>
              <w:spacing w:line="240" w:lineRule="auto"/>
              <w:jc w:val="both"/>
              <w:textAlignment w:val="auto"/>
              <w:rPr>
                <w:rFonts w:hint="eastAsia" w:eastAsia="宋体"/>
                <w:lang w:eastAsia="zh-CN"/>
              </w:rPr>
            </w:pPr>
            <w:r>
              <w:rPr>
                <w:rFonts w:hint="eastAsia"/>
                <w:lang w:eastAsia="zh-CN"/>
              </w:rPr>
              <w:t>企业建成后要做好风险防范措施，加强风险防控体系建设。</w:t>
            </w:r>
          </w:p>
        </w:tc>
        <w:tc>
          <w:tcPr>
            <w:tcW w:w="286" w:type="pct"/>
            <w:vAlign w:val="center"/>
          </w:tcPr>
          <w:p>
            <w:pPr>
              <w:pStyle w:val="16"/>
              <w:keepNext w:val="0"/>
              <w:keepLines w:val="0"/>
              <w:pageBreakBefore w:val="0"/>
              <w:widowControl w:val="0"/>
              <w:kinsoku/>
              <w:wordWrap/>
              <w:overflowPunct/>
              <w:topLinePunct w:val="0"/>
              <w:autoSpaceDE/>
              <w:autoSpaceDN/>
              <w:bidi w:val="0"/>
              <w:snapToGrid/>
              <w:spacing w:line="240" w:lineRule="auto"/>
              <w:jc w:val="both"/>
              <w:textAlignment w:val="auto"/>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pPr>
              <w:pStyle w:val="16"/>
              <w:keepNext w:val="0"/>
              <w:keepLines w:val="0"/>
              <w:pageBreakBefore w:val="0"/>
              <w:widowControl w:val="0"/>
              <w:kinsoku/>
              <w:wordWrap/>
              <w:overflowPunct/>
              <w:topLinePunct w:val="0"/>
              <w:autoSpaceDE/>
              <w:autoSpaceDN/>
              <w:bidi w:val="0"/>
              <w:snapToGrid/>
              <w:spacing w:line="240" w:lineRule="auto"/>
              <w:textAlignment w:val="auto"/>
            </w:pPr>
            <w:r>
              <w:rPr>
                <w:rFonts w:hint="eastAsia"/>
              </w:rPr>
              <w:t>4</w:t>
            </w:r>
          </w:p>
        </w:tc>
        <w:tc>
          <w:tcPr>
            <w:tcW w:w="411" w:type="pct"/>
            <w:vAlign w:val="center"/>
          </w:tcPr>
          <w:p>
            <w:pPr>
              <w:pStyle w:val="16"/>
              <w:keepNext w:val="0"/>
              <w:keepLines w:val="0"/>
              <w:pageBreakBefore w:val="0"/>
              <w:widowControl w:val="0"/>
              <w:kinsoku/>
              <w:wordWrap/>
              <w:overflowPunct/>
              <w:topLinePunct w:val="0"/>
              <w:autoSpaceDE/>
              <w:autoSpaceDN/>
              <w:bidi w:val="0"/>
              <w:snapToGrid/>
              <w:spacing w:line="240" w:lineRule="auto"/>
              <w:textAlignment w:val="auto"/>
              <w:rPr>
                <w:rFonts w:hint="eastAsia"/>
              </w:rPr>
            </w:pPr>
            <w:r>
              <w:rPr>
                <w:rFonts w:hint="eastAsia"/>
              </w:rPr>
              <w:t>资源开发效率要求</w:t>
            </w:r>
          </w:p>
        </w:tc>
        <w:tc>
          <w:tcPr>
            <w:tcW w:w="1947" w:type="pct"/>
            <w:vAlign w:val="center"/>
          </w:tcPr>
          <w:p>
            <w:pPr>
              <w:pStyle w:val="16"/>
              <w:keepNext w:val="0"/>
              <w:keepLines w:val="0"/>
              <w:pageBreakBefore w:val="0"/>
              <w:widowControl w:val="0"/>
              <w:kinsoku/>
              <w:wordWrap/>
              <w:overflowPunct/>
              <w:topLinePunct w:val="0"/>
              <w:autoSpaceDE/>
              <w:autoSpaceDN/>
              <w:bidi w:val="0"/>
              <w:snapToGrid/>
              <w:spacing w:line="240" w:lineRule="auto"/>
              <w:textAlignment w:val="auto"/>
              <w:rPr>
                <w:rFonts w:hint="eastAsia"/>
                <w:lang w:val="en-US" w:eastAsia="zh-CN"/>
              </w:rPr>
            </w:pPr>
            <w:r>
              <w:rPr>
                <w:rFonts w:hint="eastAsia"/>
                <w:lang w:val="en-US" w:eastAsia="zh-CN"/>
              </w:rPr>
              <w:t>/</w:t>
            </w:r>
          </w:p>
        </w:tc>
        <w:tc>
          <w:tcPr>
            <w:tcW w:w="2070" w:type="pct"/>
            <w:vAlign w:val="center"/>
          </w:tcPr>
          <w:p>
            <w:pPr>
              <w:pStyle w:val="16"/>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eastAsia="宋体"/>
                <w:lang w:val="en-US" w:eastAsia="zh-CN"/>
              </w:rPr>
            </w:pPr>
            <w:r>
              <w:rPr>
                <w:rFonts w:hint="eastAsia"/>
                <w:lang w:val="en-US" w:eastAsia="zh-CN"/>
              </w:rPr>
              <w:t>/</w:t>
            </w:r>
          </w:p>
        </w:tc>
        <w:tc>
          <w:tcPr>
            <w:tcW w:w="286" w:type="pct"/>
            <w:vAlign w:val="center"/>
          </w:tcPr>
          <w:p>
            <w:pPr>
              <w:pStyle w:val="16"/>
              <w:keepNext w:val="0"/>
              <w:keepLines w:val="0"/>
              <w:pageBreakBefore w:val="0"/>
              <w:widowControl w:val="0"/>
              <w:kinsoku/>
              <w:wordWrap/>
              <w:overflowPunct/>
              <w:topLinePunct w:val="0"/>
              <w:autoSpaceDE/>
              <w:autoSpaceDN/>
              <w:bidi w:val="0"/>
              <w:snapToGrid/>
              <w:spacing w:line="240" w:lineRule="auto"/>
              <w:jc w:val="both"/>
              <w:textAlignment w:val="auto"/>
            </w:pPr>
            <w:r>
              <w:rPr>
                <w:rFonts w:hint="eastAsia"/>
              </w:rPr>
              <w:t>符合</w:t>
            </w:r>
          </w:p>
        </w:tc>
      </w:tr>
    </w:tbl>
    <w:p>
      <w:pPr>
        <w:autoSpaceDE w:val="0"/>
        <w:autoSpaceDN w:val="0"/>
        <w:adjustRightInd w:val="0"/>
        <w:spacing w:line="480" w:lineRule="exact"/>
        <w:ind w:firstLine="420" w:firstLineChars="200"/>
        <w:rPr>
          <w:sz w:val="21"/>
          <w:szCs w:val="21"/>
        </w:rPr>
      </w:pPr>
      <w:r>
        <w:rPr>
          <w:rFonts w:hint="eastAsia"/>
          <w:sz w:val="21"/>
          <w:szCs w:val="21"/>
        </w:rPr>
        <w:t>综上所述，本项目建设符合《杭州市“三线一单”生态环境分区管控方案》</w:t>
      </w:r>
      <w:r>
        <w:rPr>
          <w:rFonts w:hint="eastAsia"/>
          <w:sz w:val="21"/>
          <w:szCs w:val="21"/>
          <w:lang w:eastAsia="zh-CN"/>
        </w:rPr>
        <w:t>的</w:t>
      </w:r>
      <w:r>
        <w:rPr>
          <w:rFonts w:hint="eastAsia"/>
          <w:sz w:val="21"/>
          <w:szCs w:val="21"/>
        </w:rPr>
        <w:t>要求。</w:t>
      </w:r>
    </w:p>
    <w:p>
      <w:pPr>
        <w:adjustRightInd w:val="0"/>
        <w:spacing w:line="400" w:lineRule="exact"/>
        <w:jc w:val="left"/>
        <w:rPr>
          <w:rFonts w:hint="eastAsia" w:ascii="宋体" w:hAnsi="宋体"/>
          <w:sz w:val="24"/>
          <w:szCs w:val="24"/>
          <w:lang w:val="en-US" w:eastAsia="zh-CN"/>
        </w:rPr>
      </w:pPr>
    </w:p>
    <w:p>
      <w:pPr>
        <w:adjustRightInd w:val="0"/>
        <w:spacing w:line="400" w:lineRule="exact"/>
        <w:ind w:firstLine="422" w:firstLineChars="200"/>
        <w:jc w:val="left"/>
        <w:rPr>
          <w:rFonts w:hint="eastAsia" w:ascii="宋体" w:hAnsi="宋体"/>
          <w:b/>
          <w:bCs/>
          <w:sz w:val="21"/>
          <w:szCs w:val="21"/>
          <w:lang w:val="en-US" w:eastAsia="zh-CN"/>
        </w:rPr>
      </w:pPr>
      <w:r>
        <w:rPr>
          <w:rFonts w:hint="eastAsia" w:ascii="宋体" w:hAnsi="宋体"/>
          <w:b/>
          <w:bCs/>
          <w:sz w:val="21"/>
          <w:szCs w:val="21"/>
          <w:lang w:val="en-US" w:eastAsia="zh-CN"/>
        </w:rPr>
        <w:t>（4）污染物达标排放原则符合性分析</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本项目落实环评提出的各项污染防治措施后，各项污染物均能做到达标排放，项目对环境的影响是可以接受的。</w:t>
      </w:r>
    </w:p>
    <w:p>
      <w:pPr>
        <w:adjustRightInd w:val="0"/>
        <w:spacing w:line="400" w:lineRule="exact"/>
        <w:ind w:firstLine="422" w:firstLineChars="200"/>
        <w:jc w:val="left"/>
        <w:rPr>
          <w:rFonts w:hint="eastAsia" w:ascii="宋体" w:hAnsi="宋体"/>
          <w:b/>
          <w:bCs/>
          <w:sz w:val="21"/>
          <w:szCs w:val="21"/>
          <w:lang w:val="en-US" w:eastAsia="zh-CN"/>
        </w:rPr>
      </w:pPr>
      <w:r>
        <w:rPr>
          <w:rFonts w:hint="eastAsia" w:ascii="宋体" w:hAnsi="宋体"/>
          <w:b/>
          <w:bCs/>
          <w:sz w:val="21"/>
          <w:szCs w:val="21"/>
          <w:lang w:val="en-US" w:eastAsia="zh-CN"/>
        </w:rPr>
        <w:t>（5）总量控制原则符合性分析</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本项目新增VOCs等污染物按要求在区域内进行总量削减替代，符合总量控制要求。</w:t>
      </w:r>
    </w:p>
    <w:p>
      <w:pPr>
        <w:adjustRightInd w:val="0"/>
        <w:spacing w:line="400" w:lineRule="exact"/>
        <w:ind w:firstLine="422" w:firstLineChars="200"/>
        <w:jc w:val="left"/>
        <w:rPr>
          <w:rFonts w:hint="eastAsia" w:ascii="宋体" w:hAnsi="宋体"/>
          <w:b/>
          <w:bCs/>
          <w:sz w:val="21"/>
          <w:szCs w:val="21"/>
          <w:lang w:val="en-US" w:eastAsia="zh-CN"/>
        </w:rPr>
      </w:pPr>
      <w:r>
        <w:rPr>
          <w:rFonts w:hint="eastAsia" w:ascii="宋体" w:hAnsi="宋体"/>
          <w:b/>
          <w:bCs/>
          <w:sz w:val="21"/>
          <w:szCs w:val="21"/>
          <w:lang w:val="en-US" w:eastAsia="zh-CN"/>
        </w:rPr>
        <w:t>（6）建设项目国土空间规划、国家和省产业政策符合性分析</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①国土空间规划符合性分析</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本项目位于浙江省杭州市余杭区余杭街道义桥工业区新庵前98号1幢102室、407室，根据租赁合同和不动产权证可知，项目用地为工业用地。因此，本项目的建设符合国土空间规划的要求。</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②产业政策符合性分析</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本项目属于塑料零件及其他塑料制品制造（C2929），根据《产业结构调整指导目录（2019年本）》（2021年修改），该项目不属于限制类、淘汰类；根据《杭州市产业发展导向目录与空间布局指引（2019年本）》，该项目不在限制和禁止类中。本项目已经通过余杭区经济和信息化局备案（项目代码：2403-330110-07-02-791878）。因此，本项目建设符合国家、地方相关产业政策要求。</w:t>
      </w:r>
    </w:p>
    <w:p>
      <w:pPr>
        <w:adjustRightInd w:val="0"/>
        <w:spacing w:line="400" w:lineRule="exact"/>
        <w:ind w:firstLine="422" w:firstLineChars="200"/>
        <w:jc w:val="left"/>
        <w:rPr>
          <w:rFonts w:hint="eastAsia" w:ascii="宋体" w:hAnsi="宋体"/>
          <w:b/>
          <w:bCs/>
          <w:sz w:val="21"/>
          <w:szCs w:val="21"/>
          <w:lang w:val="en-US" w:eastAsia="zh-CN"/>
        </w:rPr>
      </w:pPr>
      <w:r>
        <w:rPr>
          <w:rFonts w:hint="eastAsia" w:ascii="宋体" w:hAnsi="宋体"/>
          <w:b/>
          <w:bCs/>
          <w:sz w:val="21"/>
          <w:szCs w:val="21"/>
          <w:lang w:val="en-US" w:eastAsia="zh-CN"/>
        </w:rPr>
        <w:t>（7）、《建设项目环境保护管理条例》“四性五不批”要求符合性分析</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根据《建设项目环境保护管理条例》（中华人民共和国国务院令第682号）“四性五不批”要求，本项目符合性分析具体见表1-3。</w:t>
      </w:r>
    </w:p>
    <w:p>
      <w:pPr>
        <w:pStyle w:val="13"/>
        <w:snapToGrid/>
        <w:spacing w:before="120"/>
      </w:pPr>
      <w:r>
        <w:rPr>
          <w:rFonts w:hint="eastAsia"/>
        </w:rPr>
        <w:t>表1-</w:t>
      </w:r>
      <w:r>
        <w:rPr>
          <w:rFonts w:hint="eastAsia"/>
          <w:lang w:val="en-US" w:eastAsia="zh-CN"/>
        </w:rPr>
        <w:t>3</w:t>
      </w:r>
      <w:r>
        <w:rPr>
          <w:rFonts w:hint="eastAsia"/>
        </w:rPr>
        <w:t xml:space="preserve">  “四性五不批”要求符合性分析</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
        <w:gridCol w:w="2448"/>
        <w:gridCol w:w="4276"/>
        <w:gridCol w:w="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927" w:type="dxa"/>
            <w:gridSpan w:val="2"/>
            <w:vAlign w:val="center"/>
          </w:tcPr>
          <w:p>
            <w:pPr>
              <w:pStyle w:val="16"/>
              <w:spacing w:before="24" w:after="24"/>
              <w:rPr>
                <w:lang w:val="zh-CN"/>
              </w:rPr>
            </w:pPr>
            <w:r>
              <w:rPr>
                <w:lang w:val="zh-CN"/>
              </w:rPr>
              <w:t>建设项目环境保护管理条例</w:t>
            </w:r>
          </w:p>
        </w:tc>
        <w:tc>
          <w:tcPr>
            <w:tcW w:w="4276" w:type="dxa"/>
            <w:vAlign w:val="center"/>
          </w:tcPr>
          <w:p>
            <w:pPr>
              <w:pStyle w:val="16"/>
              <w:spacing w:before="24" w:after="24"/>
              <w:rPr>
                <w:lang w:val="zh-CN"/>
              </w:rPr>
            </w:pPr>
            <w:r>
              <w:rPr>
                <w:lang w:val="zh-CN"/>
              </w:rPr>
              <w:t>符合性分析</w:t>
            </w:r>
          </w:p>
        </w:tc>
        <w:tc>
          <w:tcPr>
            <w:tcW w:w="754" w:type="dxa"/>
            <w:vAlign w:val="center"/>
          </w:tcPr>
          <w:p>
            <w:pPr>
              <w:pStyle w:val="16"/>
              <w:spacing w:before="24" w:after="24"/>
              <w:rPr>
                <w:lang w:val="zh-CN"/>
              </w:rPr>
            </w:pPr>
            <w:r>
              <w:rPr>
                <w:lang w:val="zh-CN"/>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dxa"/>
            <w:vMerge w:val="restart"/>
            <w:vAlign w:val="center"/>
          </w:tcPr>
          <w:p>
            <w:pPr>
              <w:pStyle w:val="16"/>
              <w:spacing w:before="24" w:after="24"/>
            </w:pPr>
            <w:r>
              <w:t>四性</w:t>
            </w:r>
          </w:p>
        </w:tc>
        <w:tc>
          <w:tcPr>
            <w:tcW w:w="2448" w:type="dxa"/>
            <w:vAlign w:val="center"/>
          </w:tcPr>
          <w:p>
            <w:pPr>
              <w:pStyle w:val="16"/>
              <w:spacing w:before="24" w:after="24"/>
              <w:jc w:val="both"/>
              <w:rPr>
                <w:lang w:val="zh-CN"/>
              </w:rPr>
            </w:pPr>
            <w:r>
              <w:rPr>
                <w:rFonts w:hint="eastAsia"/>
                <w:lang w:val="zh-CN"/>
              </w:rPr>
              <w:t>（一）</w:t>
            </w:r>
            <w:r>
              <w:rPr>
                <w:lang w:val="zh-CN"/>
              </w:rPr>
              <w:t>建设项目的环境可行性</w:t>
            </w:r>
          </w:p>
        </w:tc>
        <w:tc>
          <w:tcPr>
            <w:tcW w:w="4276" w:type="dxa"/>
            <w:vAlign w:val="center"/>
          </w:tcPr>
          <w:p>
            <w:pPr>
              <w:pStyle w:val="16"/>
              <w:spacing w:before="24" w:after="24"/>
              <w:jc w:val="both"/>
              <w:rPr>
                <w:lang w:val="zh-CN"/>
              </w:rPr>
            </w:pPr>
            <w:r>
              <w:rPr>
                <w:rFonts w:hint="eastAsia"/>
                <w:lang w:val="zh-CN"/>
              </w:rPr>
              <w:t>本环评对大气环境、水环境、声环境、固废影响进行了分析，项目建设期和运营期对环境存在一定的影响，但通过实施环评中提出的各项环保措施后，各类污染物均能达标排放，因此项目环境可行。</w:t>
            </w:r>
          </w:p>
        </w:tc>
        <w:tc>
          <w:tcPr>
            <w:tcW w:w="754" w:type="dxa"/>
            <w:vAlign w:val="center"/>
          </w:tcPr>
          <w:p>
            <w:pPr>
              <w:pStyle w:val="16"/>
              <w:spacing w:before="24" w:after="24"/>
              <w:rPr>
                <w:lang w:val="zh-CN"/>
              </w:rPr>
            </w:pPr>
            <w:r>
              <w:rPr>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dxa"/>
            <w:vMerge w:val="continue"/>
            <w:vAlign w:val="center"/>
          </w:tcPr>
          <w:p>
            <w:pPr>
              <w:pStyle w:val="16"/>
              <w:spacing w:before="24" w:after="24"/>
            </w:pPr>
          </w:p>
        </w:tc>
        <w:tc>
          <w:tcPr>
            <w:tcW w:w="2448" w:type="dxa"/>
            <w:vAlign w:val="center"/>
          </w:tcPr>
          <w:p>
            <w:pPr>
              <w:pStyle w:val="16"/>
              <w:spacing w:before="24" w:after="24"/>
              <w:jc w:val="both"/>
              <w:rPr>
                <w:lang w:val="zh-CN"/>
              </w:rPr>
            </w:pPr>
            <w:r>
              <w:rPr>
                <w:rFonts w:hint="eastAsia"/>
                <w:lang w:val="zh-CN"/>
              </w:rPr>
              <w:t>（二）</w:t>
            </w:r>
            <w:r>
              <w:rPr>
                <w:lang w:val="zh-CN"/>
              </w:rPr>
              <w:t>环境影响分析预测评估的可靠性</w:t>
            </w:r>
          </w:p>
        </w:tc>
        <w:tc>
          <w:tcPr>
            <w:tcW w:w="4276" w:type="dxa"/>
            <w:vAlign w:val="center"/>
          </w:tcPr>
          <w:p>
            <w:pPr>
              <w:pStyle w:val="16"/>
              <w:spacing w:before="24" w:after="24"/>
              <w:jc w:val="both"/>
              <w:rPr>
                <w:lang w:val="zh-CN"/>
              </w:rPr>
            </w:pPr>
            <w:r>
              <w:rPr>
                <w:rFonts w:hint="eastAsia"/>
                <w:lang w:val="zh-CN"/>
              </w:rPr>
              <w:t>本环评按照</w:t>
            </w:r>
            <w:r>
              <w:rPr>
                <w:rFonts w:hint="eastAsia"/>
              </w:rPr>
              <w:t>相关技术规范</w:t>
            </w:r>
            <w:r>
              <w:rPr>
                <w:rFonts w:hint="eastAsia"/>
                <w:lang w:val="zh-CN"/>
              </w:rPr>
              <w:t>规定的模式进行预测，其环境影响分析预测评估是可靠的。</w:t>
            </w:r>
          </w:p>
        </w:tc>
        <w:tc>
          <w:tcPr>
            <w:tcW w:w="754" w:type="dxa"/>
            <w:vAlign w:val="center"/>
          </w:tcPr>
          <w:p>
            <w:pPr>
              <w:pStyle w:val="16"/>
              <w:spacing w:before="24" w:after="24"/>
              <w:rPr>
                <w:lang w:val="zh-CN"/>
              </w:rPr>
            </w:pPr>
            <w:r>
              <w:rPr>
                <w:rFonts w:hint="eastAsia"/>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dxa"/>
            <w:vMerge w:val="continue"/>
            <w:vAlign w:val="center"/>
          </w:tcPr>
          <w:p>
            <w:pPr>
              <w:pStyle w:val="16"/>
              <w:spacing w:before="24" w:after="24"/>
            </w:pPr>
          </w:p>
        </w:tc>
        <w:tc>
          <w:tcPr>
            <w:tcW w:w="2448" w:type="dxa"/>
            <w:vAlign w:val="center"/>
          </w:tcPr>
          <w:p>
            <w:pPr>
              <w:pStyle w:val="16"/>
              <w:spacing w:before="24" w:after="24"/>
              <w:jc w:val="both"/>
              <w:rPr>
                <w:lang w:val="zh-CN"/>
              </w:rPr>
            </w:pPr>
            <w:r>
              <w:rPr>
                <w:rFonts w:hint="eastAsia"/>
                <w:lang w:val="zh-CN"/>
              </w:rPr>
              <w:t>（三）</w:t>
            </w:r>
            <w:r>
              <w:rPr>
                <w:lang w:val="zh-CN"/>
              </w:rPr>
              <w:t>环境保护措施的有效性</w:t>
            </w:r>
          </w:p>
        </w:tc>
        <w:tc>
          <w:tcPr>
            <w:tcW w:w="4276" w:type="dxa"/>
            <w:vAlign w:val="center"/>
          </w:tcPr>
          <w:p>
            <w:pPr>
              <w:pStyle w:val="16"/>
              <w:spacing w:before="24" w:after="24"/>
              <w:jc w:val="both"/>
              <w:rPr>
                <w:lang w:val="zh-CN"/>
              </w:rPr>
            </w:pPr>
            <w:r>
              <w:rPr>
                <w:rFonts w:hint="eastAsia"/>
              </w:rPr>
              <w:t>本</w:t>
            </w:r>
            <w:r>
              <w:rPr>
                <w:rFonts w:hint="eastAsia"/>
                <w:lang w:val="zh-CN"/>
              </w:rPr>
              <w:t>项目产生的污染物较少，且均采用较为成熟的技术进行处理，从技术分析上，只要落实本报告中环保措施，本项目废气、废水、噪声能达标排放，固废得到妥善处置。</w:t>
            </w:r>
          </w:p>
        </w:tc>
        <w:tc>
          <w:tcPr>
            <w:tcW w:w="754" w:type="dxa"/>
            <w:vAlign w:val="center"/>
          </w:tcPr>
          <w:p>
            <w:pPr>
              <w:pStyle w:val="16"/>
              <w:spacing w:before="24" w:after="24"/>
              <w:rPr>
                <w:lang w:val="zh-CN"/>
              </w:rPr>
            </w:pPr>
            <w:r>
              <w:rPr>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dxa"/>
            <w:vMerge w:val="continue"/>
            <w:vAlign w:val="center"/>
          </w:tcPr>
          <w:p>
            <w:pPr>
              <w:pStyle w:val="16"/>
              <w:spacing w:before="24" w:after="24"/>
            </w:pPr>
          </w:p>
        </w:tc>
        <w:tc>
          <w:tcPr>
            <w:tcW w:w="2448" w:type="dxa"/>
            <w:vAlign w:val="center"/>
          </w:tcPr>
          <w:p>
            <w:pPr>
              <w:pStyle w:val="16"/>
              <w:spacing w:before="24" w:after="24"/>
              <w:jc w:val="both"/>
              <w:rPr>
                <w:lang w:val="zh-CN"/>
              </w:rPr>
            </w:pPr>
            <w:r>
              <w:rPr>
                <w:rFonts w:hint="eastAsia"/>
                <w:lang w:val="zh-CN"/>
              </w:rPr>
              <w:t>（四）</w:t>
            </w:r>
            <w:r>
              <w:rPr>
                <w:lang w:val="zh-CN"/>
              </w:rPr>
              <w:t>环境影响评价结论的科学性</w:t>
            </w:r>
          </w:p>
        </w:tc>
        <w:tc>
          <w:tcPr>
            <w:tcW w:w="4276" w:type="dxa"/>
            <w:vAlign w:val="center"/>
          </w:tcPr>
          <w:p>
            <w:pPr>
              <w:pStyle w:val="16"/>
              <w:spacing w:before="24" w:after="24"/>
              <w:jc w:val="both"/>
              <w:rPr>
                <w:lang w:val="zh-CN"/>
              </w:rPr>
            </w:pPr>
            <w:r>
              <w:rPr>
                <w:rFonts w:hint="eastAsia"/>
                <w:lang w:val="zh-CN"/>
              </w:rPr>
              <w:t>本环评结论客观、过程公开、评价公正，并综合考虑建设项目实施后对各种环境因素可能造成的影响，环评结论是科学的。</w:t>
            </w:r>
          </w:p>
        </w:tc>
        <w:tc>
          <w:tcPr>
            <w:tcW w:w="754" w:type="dxa"/>
            <w:vAlign w:val="center"/>
          </w:tcPr>
          <w:p>
            <w:pPr>
              <w:pStyle w:val="16"/>
              <w:spacing w:before="24" w:after="24"/>
              <w:rPr>
                <w:lang w:val="zh-CN"/>
              </w:rPr>
            </w:pPr>
            <w:r>
              <w:rPr>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9" w:type="dxa"/>
            <w:vMerge w:val="restart"/>
            <w:vAlign w:val="center"/>
          </w:tcPr>
          <w:p>
            <w:pPr>
              <w:pStyle w:val="16"/>
              <w:spacing w:before="24" w:after="24"/>
            </w:pPr>
            <w:r>
              <w:t>五不批</w:t>
            </w:r>
          </w:p>
        </w:tc>
        <w:tc>
          <w:tcPr>
            <w:tcW w:w="2448" w:type="dxa"/>
            <w:vAlign w:val="center"/>
          </w:tcPr>
          <w:p>
            <w:pPr>
              <w:pStyle w:val="16"/>
              <w:spacing w:before="24" w:after="24"/>
              <w:jc w:val="both"/>
              <w:rPr>
                <w:lang w:val="zh-CN"/>
              </w:rPr>
            </w:pPr>
            <w:r>
              <w:rPr>
                <w:lang w:val="zh-CN"/>
              </w:rPr>
              <w:t>（一）建设项目类型及其选址、布局、规模等不符合环境保护法律法规和相关法定规划</w:t>
            </w:r>
          </w:p>
        </w:tc>
        <w:tc>
          <w:tcPr>
            <w:tcW w:w="4276" w:type="dxa"/>
            <w:vAlign w:val="center"/>
          </w:tcPr>
          <w:p>
            <w:pPr>
              <w:pStyle w:val="16"/>
              <w:spacing w:before="24" w:after="24"/>
              <w:jc w:val="both"/>
              <w:rPr>
                <w:lang w:val="zh-CN"/>
              </w:rPr>
            </w:pPr>
            <w:r>
              <w:rPr>
                <w:lang w:val="zh-CN"/>
              </w:rPr>
              <w:t>本项目位于</w:t>
            </w:r>
            <w:r>
              <w:rPr>
                <w:rFonts w:hint="eastAsia"/>
                <w:lang w:val="zh-CN"/>
              </w:rPr>
              <w:t>余杭区余杭街道义桥工业区新庵前98号</w:t>
            </w:r>
            <w:r>
              <w:rPr>
                <w:rFonts w:hint="eastAsia"/>
                <w:lang w:val="en-US" w:eastAsia="zh-CN"/>
              </w:rPr>
              <w:t>1幢102室、407室</w:t>
            </w:r>
            <w:r>
              <w:rPr>
                <w:lang w:val="zh-CN"/>
              </w:rPr>
              <w:t>，项目类型及其选址、布局、规模等符合环境保护法律法规和相关法定规划</w:t>
            </w:r>
            <w:r>
              <w:rPr>
                <w:rFonts w:hint="eastAsia"/>
                <w:lang w:val="zh-CN"/>
              </w:rPr>
              <w:t>。</w:t>
            </w:r>
          </w:p>
        </w:tc>
        <w:tc>
          <w:tcPr>
            <w:tcW w:w="754" w:type="dxa"/>
            <w:vAlign w:val="center"/>
          </w:tcPr>
          <w:p>
            <w:pPr>
              <w:pStyle w:val="16"/>
              <w:spacing w:before="24" w:after="24"/>
              <w:rPr>
                <w:lang w:val="zh-CN"/>
              </w:rPr>
            </w:pPr>
            <w:r>
              <w:rPr>
                <w:lang w:val="zh-CN"/>
              </w:rPr>
              <w:t>符合审批原则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dxa"/>
            <w:vMerge w:val="continue"/>
            <w:vAlign w:val="center"/>
          </w:tcPr>
          <w:p>
            <w:pPr>
              <w:pStyle w:val="16"/>
              <w:spacing w:before="24" w:after="24"/>
            </w:pPr>
          </w:p>
        </w:tc>
        <w:tc>
          <w:tcPr>
            <w:tcW w:w="2448" w:type="dxa"/>
            <w:vAlign w:val="center"/>
          </w:tcPr>
          <w:p>
            <w:pPr>
              <w:pStyle w:val="16"/>
              <w:spacing w:before="24" w:after="24"/>
              <w:jc w:val="both"/>
              <w:rPr>
                <w:lang w:val="zh-CN"/>
              </w:rPr>
            </w:pPr>
            <w:r>
              <w:rPr>
                <w:lang w:val="zh-CN"/>
              </w:rPr>
              <w:t>（二）所在区域环境质量未达到国家或者地方环境质量标准，且建设项目拟采取的措施不能满足区域环境质量改善目标管理要求</w:t>
            </w:r>
          </w:p>
        </w:tc>
        <w:tc>
          <w:tcPr>
            <w:tcW w:w="4276" w:type="dxa"/>
            <w:vAlign w:val="center"/>
          </w:tcPr>
          <w:p>
            <w:pPr>
              <w:autoSpaceDE w:val="0"/>
              <w:autoSpaceDN w:val="0"/>
              <w:adjustRightInd w:val="0"/>
              <w:spacing w:line="240" w:lineRule="auto"/>
              <w:jc w:val="both"/>
              <w:rPr>
                <w:lang w:val="zh-CN"/>
              </w:rPr>
            </w:pPr>
            <w:r>
              <w:rPr>
                <w:rFonts w:hint="eastAsia" w:ascii="Times New Roman" w:hAnsi="Times New Roman" w:eastAsia="宋体" w:cs="Times New Roman"/>
                <w:snapToGrid w:val="0"/>
                <w:kern w:val="0"/>
                <w:sz w:val="21"/>
                <w:szCs w:val="21"/>
                <w:lang w:val="zh-CN" w:eastAsia="zh-CN" w:bidi="ar-SA"/>
              </w:rPr>
              <w:t>项目所在地属环境空气不达标区，</w:t>
            </w:r>
            <w:r>
              <w:rPr>
                <w:rFonts w:hint="eastAsia" w:ascii="Times New Roman" w:hAnsi="Times New Roman" w:eastAsia="宋体" w:cs="Times New Roman"/>
                <w:snapToGrid w:val="0"/>
                <w:kern w:val="0"/>
                <w:sz w:val="21"/>
                <w:szCs w:val="21"/>
                <w:lang w:val="en-US" w:eastAsia="zh-CN" w:bidi="ar-SA"/>
              </w:rPr>
              <w:t>随着区域大气污染物防治工作的持续有效推进，预计区域整体环境空气质量将会有所改善</w:t>
            </w:r>
            <w:r>
              <w:rPr>
                <w:rFonts w:hint="eastAsia" w:cs="Times New Roman"/>
                <w:snapToGrid w:val="0"/>
                <w:kern w:val="0"/>
                <w:sz w:val="21"/>
                <w:szCs w:val="21"/>
                <w:lang w:val="en-US" w:eastAsia="zh-CN" w:bidi="ar-SA"/>
              </w:rPr>
              <w:t>；</w:t>
            </w:r>
            <w:r>
              <w:rPr>
                <w:rFonts w:hint="eastAsia" w:ascii="Times New Roman" w:hAnsi="Times New Roman" w:eastAsia="宋体" w:cs="Times New Roman"/>
                <w:snapToGrid w:val="0"/>
                <w:kern w:val="0"/>
                <w:sz w:val="21"/>
                <w:szCs w:val="21"/>
                <w:lang w:val="zh-CN" w:eastAsia="zh-CN" w:bidi="ar-SA"/>
              </w:rPr>
              <w:t>本项目废气排放量较少，经处理后均能达标排放；</w:t>
            </w:r>
            <w:r>
              <w:rPr>
                <w:rFonts w:hint="eastAsia" w:cs="Times New Roman"/>
                <w:snapToGrid w:val="0"/>
                <w:kern w:val="0"/>
                <w:sz w:val="21"/>
                <w:szCs w:val="21"/>
                <w:lang w:val="en-US" w:eastAsia="zh-CN" w:bidi="ar-SA"/>
              </w:rPr>
              <w:t>义桥港水质不能达到《地表水环境质量标准》（GB3838-2002）中的</w:t>
            </w:r>
            <w:r>
              <w:rPr>
                <w:rFonts w:hint="eastAsia" w:ascii="宋体" w:hAnsi="宋体" w:eastAsia="宋体" w:cs="宋体"/>
              </w:rPr>
              <w:t>Ⅱ</w:t>
            </w:r>
            <w:r>
              <w:rPr>
                <w:rFonts w:hint="eastAsia" w:cs="Times New Roman"/>
                <w:snapToGrid w:val="0"/>
                <w:kern w:val="0"/>
                <w:sz w:val="21"/>
                <w:szCs w:val="21"/>
                <w:lang w:val="en-US" w:eastAsia="zh-CN" w:bidi="ar-SA"/>
              </w:rPr>
              <w:t>类标准</w:t>
            </w:r>
            <w:r>
              <w:rPr>
                <w:rFonts w:hint="eastAsia" w:cs="Times New Roman"/>
                <w:snapToGrid w:val="0"/>
                <w:kern w:val="0"/>
                <w:sz w:val="21"/>
                <w:szCs w:val="21"/>
                <w:lang w:val="zh-CN" w:eastAsia="zh-CN" w:bidi="ar-SA"/>
              </w:rPr>
              <w:t>，</w:t>
            </w:r>
            <w:r>
              <w:rPr>
                <w:rFonts w:hint="eastAsia" w:ascii="Times New Roman" w:hAnsi="Times New Roman" w:eastAsia="宋体" w:cs="Times New Roman"/>
                <w:snapToGrid w:val="0"/>
                <w:kern w:val="0"/>
                <w:sz w:val="21"/>
                <w:szCs w:val="21"/>
                <w:lang w:val="en-US" w:eastAsia="zh-CN" w:bidi="ar-SA"/>
              </w:rPr>
              <w:t>随着《杭州市生态环境保护“十四五”规划》</w:t>
            </w:r>
            <w:r>
              <w:rPr>
                <w:rFonts w:hint="eastAsia" w:ascii="Times New Roman" w:hAnsi="Times New Roman" w:eastAsia="宋体" w:cs="Times New Roman"/>
                <w:snapToGrid w:val="0"/>
                <w:kern w:val="0"/>
                <w:sz w:val="21"/>
                <w:szCs w:val="21"/>
                <w:lang w:val="zh-CN" w:eastAsia="zh-CN" w:bidi="ar-SA"/>
              </w:rPr>
              <w:t>（杭环发</w:t>
            </w:r>
            <w:r>
              <w:rPr>
                <w:rFonts w:hint="eastAsia" w:ascii="Times New Roman" w:hAnsi="Times New Roman" w:eastAsia="宋体" w:cs="Times New Roman"/>
                <w:snapToGrid w:val="0"/>
                <w:kern w:val="0"/>
                <w:sz w:val="21"/>
                <w:szCs w:val="21"/>
                <w:lang w:val="en-US" w:eastAsia="zh-CN" w:bidi="ar-SA"/>
              </w:rPr>
              <w:t>[2021]66号</w:t>
            </w:r>
            <w:r>
              <w:rPr>
                <w:rFonts w:hint="eastAsia" w:ascii="Times New Roman" w:hAnsi="Times New Roman" w:eastAsia="宋体" w:cs="Times New Roman"/>
                <w:snapToGrid w:val="0"/>
                <w:kern w:val="0"/>
                <w:sz w:val="21"/>
                <w:szCs w:val="21"/>
                <w:lang w:val="zh-CN" w:eastAsia="zh-CN" w:bidi="ar-SA"/>
              </w:rPr>
              <w:t>）等文件的实施，区域河道水质将持续改善；</w:t>
            </w:r>
            <w:r>
              <w:rPr>
                <w:rFonts w:hint="eastAsia" w:cs="Times New Roman"/>
                <w:snapToGrid w:val="0"/>
                <w:kern w:val="0"/>
                <w:sz w:val="21"/>
                <w:szCs w:val="21"/>
                <w:lang w:val="zh-CN" w:eastAsia="zh-CN" w:bidi="ar-SA"/>
              </w:rPr>
              <w:t>项目废水经预处理后，纳管排放；</w:t>
            </w:r>
            <w:r>
              <w:rPr>
                <w:rFonts w:hint="eastAsia" w:ascii="Times New Roman" w:hAnsi="Times New Roman" w:eastAsia="宋体" w:cs="Times New Roman"/>
                <w:snapToGrid w:val="0"/>
                <w:kern w:val="0"/>
                <w:sz w:val="21"/>
                <w:szCs w:val="21"/>
                <w:lang w:val="zh-CN" w:eastAsia="zh-CN" w:bidi="ar-SA"/>
              </w:rPr>
              <w:t>预测噪声厂界达标；固废均妥善处置。项目实施后对当地环境质量影响不大，不会使环境质量出现降级，预计当地环境质量仍能保持现状水平。</w:t>
            </w:r>
          </w:p>
        </w:tc>
        <w:tc>
          <w:tcPr>
            <w:tcW w:w="754" w:type="dxa"/>
            <w:vAlign w:val="center"/>
          </w:tcPr>
          <w:p>
            <w:pPr>
              <w:pStyle w:val="16"/>
              <w:spacing w:before="24" w:after="24"/>
              <w:rPr>
                <w:lang w:val="zh-CN"/>
              </w:rPr>
            </w:pPr>
            <w:r>
              <w:rPr>
                <w:lang w:val="zh-CN"/>
              </w:rPr>
              <w:t>符合审批原则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dxa"/>
            <w:vMerge w:val="continue"/>
            <w:vAlign w:val="center"/>
          </w:tcPr>
          <w:p>
            <w:pPr>
              <w:pStyle w:val="16"/>
              <w:spacing w:before="24" w:after="24"/>
            </w:pPr>
          </w:p>
        </w:tc>
        <w:tc>
          <w:tcPr>
            <w:tcW w:w="2448" w:type="dxa"/>
            <w:vAlign w:val="center"/>
          </w:tcPr>
          <w:p>
            <w:pPr>
              <w:pStyle w:val="16"/>
              <w:spacing w:before="24" w:after="24"/>
              <w:jc w:val="both"/>
              <w:rPr>
                <w:lang w:val="zh-CN"/>
              </w:rPr>
            </w:pPr>
            <w:r>
              <w:rPr>
                <w:lang w:val="zh-CN"/>
              </w:rPr>
              <w:t>（三）建设项目采取的污染防治措施无法确保污染物排放达到国家和地方排放标准，或者未采取必要措施预防和控制生态破坏</w:t>
            </w:r>
          </w:p>
        </w:tc>
        <w:tc>
          <w:tcPr>
            <w:tcW w:w="4276" w:type="dxa"/>
            <w:vAlign w:val="center"/>
          </w:tcPr>
          <w:p>
            <w:pPr>
              <w:pStyle w:val="16"/>
              <w:spacing w:before="24" w:after="24"/>
              <w:jc w:val="both"/>
              <w:rPr>
                <w:lang w:val="zh-CN"/>
              </w:rPr>
            </w:pPr>
            <w:r>
              <w:rPr>
                <w:lang w:val="zh-CN"/>
              </w:rPr>
              <w:t>本项目采取的污染防治措施均能确保污染物排放达到国家和地方排放标准</w:t>
            </w:r>
            <w:r>
              <w:rPr>
                <w:rFonts w:hint="eastAsia"/>
                <w:lang w:val="zh-CN"/>
              </w:rPr>
              <w:t>。</w:t>
            </w:r>
          </w:p>
        </w:tc>
        <w:tc>
          <w:tcPr>
            <w:tcW w:w="754" w:type="dxa"/>
            <w:vAlign w:val="center"/>
          </w:tcPr>
          <w:p>
            <w:pPr>
              <w:pStyle w:val="16"/>
              <w:spacing w:before="24" w:after="24"/>
              <w:rPr>
                <w:lang w:val="zh-CN"/>
              </w:rPr>
            </w:pPr>
            <w:r>
              <w:rPr>
                <w:lang w:val="zh-CN"/>
              </w:rPr>
              <w:t>符合审批原则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dxa"/>
            <w:vMerge w:val="continue"/>
            <w:vAlign w:val="center"/>
          </w:tcPr>
          <w:p>
            <w:pPr>
              <w:pStyle w:val="16"/>
              <w:spacing w:before="24" w:after="24"/>
            </w:pPr>
          </w:p>
        </w:tc>
        <w:tc>
          <w:tcPr>
            <w:tcW w:w="2448" w:type="dxa"/>
            <w:vAlign w:val="center"/>
          </w:tcPr>
          <w:p>
            <w:pPr>
              <w:pStyle w:val="16"/>
              <w:spacing w:before="24" w:after="24"/>
              <w:jc w:val="both"/>
              <w:rPr>
                <w:lang w:val="zh-CN"/>
              </w:rPr>
            </w:pPr>
            <w:r>
              <w:rPr>
                <w:lang w:val="zh-CN"/>
              </w:rPr>
              <w:t>（四）改建、扩建和技术改造项目，未针对项目原有环境污染和生态破坏提出有效防治措施</w:t>
            </w:r>
          </w:p>
        </w:tc>
        <w:tc>
          <w:tcPr>
            <w:tcW w:w="4276" w:type="dxa"/>
            <w:vAlign w:val="center"/>
          </w:tcPr>
          <w:p>
            <w:pPr>
              <w:pStyle w:val="16"/>
              <w:spacing w:before="24" w:after="24"/>
              <w:jc w:val="both"/>
              <w:rPr>
                <w:lang w:val="zh-CN"/>
              </w:rPr>
            </w:pPr>
            <w:r>
              <w:rPr>
                <w:lang w:val="zh-CN"/>
              </w:rPr>
              <w:t>本项目</w:t>
            </w:r>
            <w:r>
              <w:rPr>
                <w:rFonts w:hint="eastAsia"/>
                <w:lang w:val="zh-CN"/>
              </w:rPr>
              <w:t>为新建项目，不涉及项目原有环境污染和生态破坏</w:t>
            </w:r>
            <w:r>
              <w:rPr>
                <w:lang w:val="zh-CN"/>
              </w:rPr>
              <w:t>。</w:t>
            </w:r>
          </w:p>
        </w:tc>
        <w:tc>
          <w:tcPr>
            <w:tcW w:w="754" w:type="dxa"/>
            <w:vAlign w:val="center"/>
          </w:tcPr>
          <w:p>
            <w:pPr>
              <w:pStyle w:val="16"/>
              <w:spacing w:before="24" w:after="24"/>
              <w:rPr>
                <w:lang w:val="zh-CN"/>
              </w:rPr>
            </w:pPr>
            <w:r>
              <w:rPr>
                <w:lang w:val="zh-CN"/>
              </w:rPr>
              <w:t>符合审批原则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dxa"/>
            <w:vMerge w:val="continue"/>
            <w:vAlign w:val="center"/>
          </w:tcPr>
          <w:p>
            <w:pPr>
              <w:pStyle w:val="16"/>
              <w:spacing w:before="24" w:after="24"/>
            </w:pPr>
          </w:p>
        </w:tc>
        <w:tc>
          <w:tcPr>
            <w:tcW w:w="2448" w:type="dxa"/>
            <w:vAlign w:val="center"/>
          </w:tcPr>
          <w:p>
            <w:pPr>
              <w:pStyle w:val="16"/>
              <w:spacing w:before="24" w:after="24"/>
              <w:jc w:val="both"/>
              <w:rPr>
                <w:lang w:val="zh-CN"/>
              </w:rPr>
            </w:pPr>
            <w:r>
              <w:rPr>
                <w:lang w:val="zh-CN"/>
              </w:rPr>
              <w:t>（五）建设项目的环境影响报告书、环境</w:t>
            </w:r>
            <w:r>
              <w:rPr>
                <w:rFonts w:hint="eastAsia"/>
                <w:lang w:val="zh-CN"/>
              </w:rPr>
              <w:t>影响</w:t>
            </w:r>
            <w:r>
              <w:rPr>
                <w:lang w:val="zh-CN"/>
              </w:rPr>
              <w:cr/>
            </w:r>
            <w:r>
              <w:rPr>
                <w:lang w:val="zh-CN"/>
              </w:rPr>
              <w:t>报告表的基础资料数据明显不实，内容存在重大缺陷、遗漏，或者环境影响评价结论不明确、不合理</w:t>
            </w:r>
          </w:p>
        </w:tc>
        <w:tc>
          <w:tcPr>
            <w:tcW w:w="4276" w:type="dxa"/>
            <w:vAlign w:val="center"/>
          </w:tcPr>
          <w:p>
            <w:pPr>
              <w:pStyle w:val="16"/>
              <w:spacing w:before="24" w:after="24"/>
              <w:jc w:val="both"/>
              <w:rPr>
                <w:lang w:val="zh-CN"/>
              </w:rPr>
            </w:pPr>
            <w:r>
              <w:rPr>
                <w:rFonts w:hint="eastAsia"/>
                <w:lang w:val="zh-CN"/>
              </w:rPr>
              <w:t>本环评基于建设单位提供的相关资料，按照现行导则、技术指南编制。</w:t>
            </w:r>
          </w:p>
        </w:tc>
        <w:tc>
          <w:tcPr>
            <w:tcW w:w="754" w:type="dxa"/>
            <w:vAlign w:val="center"/>
          </w:tcPr>
          <w:p>
            <w:pPr>
              <w:pStyle w:val="16"/>
              <w:spacing w:before="24" w:after="24"/>
              <w:rPr>
                <w:lang w:val="zh-CN"/>
              </w:rPr>
            </w:pPr>
            <w:r>
              <w:rPr>
                <w:lang w:val="zh-CN"/>
              </w:rPr>
              <w:t>符合审批原则</w:t>
            </w:r>
          </w:p>
        </w:tc>
      </w:tr>
    </w:tbl>
    <w:p>
      <w:pPr>
        <w:autoSpaceDE w:val="0"/>
        <w:autoSpaceDN w:val="0"/>
        <w:adjustRightInd w:val="0"/>
        <w:spacing w:line="480" w:lineRule="exact"/>
        <w:ind w:left="480"/>
        <w:rPr>
          <w:rFonts w:hint="eastAsia" w:ascii="Times New Roman" w:hAnsi="Times New Roman" w:eastAsia="宋体" w:cs="Times New Roman"/>
          <w:b/>
          <w:bCs/>
          <w:lang w:val="en-US" w:eastAsia="zh-CN"/>
        </w:rPr>
      </w:pPr>
      <w:r>
        <w:rPr>
          <w:rFonts w:hint="eastAsia"/>
        </w:rPr>
        <w:t>（</w:t>
      </w:r>
      <w:r>
        <w:rPr>
          <w:rFonts w:hint="eastAsia"/>
          <w:lang w:val="en-US" w:eastAsia="zh-CN"/>
        </w:rPr>
        <w:t>8</w:t>
      </w:r>
      <w:r>
        <w:rPr>
          <w:rFonts w:hint="eastAsia"/>
        </w:rPr>
        <w:t>）</w:t>
      </w:r>
      <w:r>
        <w:rPr>
          <w:rFonts w:hint="eastAsia" w:ascii="Times New Roman" w:hAnsi="Times New Roman" w:eastAsia="宋体" w:cs="Times New Roman"/>
          <w:b/>
          <w:bCs/>
          <w:lang w:val="en-US" w:eastAsia="zh-CN"/>
        </w:rPr>
        <w:t>、与《太湖流域管理条例》符合性分析</w:t>
      </w:r>
    </w:p>
    <w:p>
      <w:pPr>
        <w:autoSpaceDE w:val="0"/>
        <w:autoSpaceDN w:val="0"/>
        <w:adjustRightInd w:val="0"/>
        <w:spacing w:line="480" w:lineRule="exact"/>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《太湖流域管理条例》于</w:t>
      </w:r>
      <w:r>
        <w:rPr>
          <w:rFonts w:hint="eastAsia" w:ascii="Times New Roman" w:hAnsi="Times New Roman" w:eastAsia="宋体" w:cs="Times New Roman"/>
          <w:snapToGrid w:val="0"/>
          <w:kern w:val="24"/>
        </w:rPr>
        <w:t>2011年8月24日经国务院第169次常务会议通过，自2011年11月1日起施行，建设项目与其中有关条款的符合性见表1-</w:t>
      </w:r>
      <w:r>
        <w:rPr>
          <w:rFonts w:hint="eastAsia" w:cs="Times New Roman"/>
          <w:snapToGrid w:val="0"/>
          <w:kern w:val="24"/>
          <w:lang w:val="en-US" w:eastAsia="zh-CN"/>
        </w:rPr>
        <w:t>4</w:t>
      </w:r>
      <w:r>
        <w:rPr>
          <w:rFonts w:hint="eastAsia" w:ascii="Times New Roman" w:hAnsi="Times New Roman" w:eastAsia="宋体" w:cs="Times New Roman"/>
          <w:snapToGrid w:val="0"/>
          <w:kern w:val="24"/>
        </w:rPr>
        <w:t>。</w:t>
      </w:r>
    </w:p>
    <w:p>
      <w:pPr>
        <w:pStyle w:val="13"/>
        <w:snapToGrid/>
        <w:spacing w:before="120"/>
        <w:rPr>
          <w:rFonts w:hint="eastAsia" w:ascii="Times New Roman" w:hAnsi="Times New Roman" w:eastAsia="宋体" w:cs="Times New Roman"/>
          <w:lang w:eastAsia="zh-CN"/>
        </w:rPr>
      </w:pPr>
    </w:p>
    <w:p>
      <w:pPr>
        <w:pStyle w:val="13"/>
        <w:snapToGrid/>
        <w:spacing w:before="120"/>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表</w:t>
      </w:r>
      <w:r>
        <w:rPr>
          <w:rFonts w:hint="eastAsia" w:ascii="Times New Roman" w:hAnsi="Times New Roman" w:eastAsia="宋体" w:cs="Times New Roman"/>
          <w:lang w:val="en-US" w:eastAsia="zh-CN"/>
        </w:rPr>
        <w:t>1-</w:t>
      </w:r>
      <w:r>
        <w:rPr>
          <w:rFonts w:hint="eastAsia" w:cs="Times New Roman"/>
          <w:lang w:val="en-US" w:eastAsia="zh-CN"/>
        </w:rPr>
        <w:t>4</w:t>
      </w:r>
      <w:r>
        <w:rPr>
          <w:rFonts w:hint="eastAsia" w:ascii="Times New Roman" w:hAnsi="Times New Roman" w:eastAsia="宋体" w:cs="Times New Roman"/>
          <w:lang w:val="en-US" w:eastAsia="zh-CN"/>
        </w:rPr>
        <w:t xml:space="preserve">  建设项目与太湖流域管理条例有关内容符合性分析</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8"/>
        <w:gridCol w:w="4914"/>
        <w:gridCol w:w="2484"/>
        <w:gridCol w:w="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16"/>
              <w:spacing w:before="24" w:after="24"/>
              <w:rPr>
                <w:rFonts w:hint="eastAsia" w:ascii="Times New Roman" w:hAnsi="Times New Roman" w:eastAsia="宋体" w:cs="Times New Roman"/>
                <w:vertAlign w:val="baseline"/>
                <w:lang w:eastAsia="zh-CN"/>
              </w:rPr>
            </w:pPr>
            <w:r>
              <w:rPr>
                <w:rFonts w:hint="eastAsia" w:ascii="Times New Roman" w:hAnsi="Times New Roman" w:eastAsia="宋体" w:cs="Times New Roman"/>
                <w:vertAlign w:val="baseline"/>
                <w:lang w:eastAsia="zh-CN"/>
              </w:rPr>
              <w:t>条款</w:t>
            </w:r>
          </w:p>
        </w:tc>
        <w:tc>
          <w:tcPr>
            <w:tcW w:w="2882" w:type="pct"/>
            <w:vAlign w:val="center"/>
          </w:tcPr>
          <w:p>
            <w:pPr>
              <w:pStyle w:val="16"/>
              <w:spacing w:before="24" w:after="24"/>
              <w:rPr>
                <w:rFonts w:hint="eastAsia" w:ascii="Times New Roman" w:hAnsi="Times New Roman" w:eastAsia="宋体" w:cs="Times New Roman"/>
                <w:vertAlign w:val="baseline"/>
                <w:lang w:eastAsia="zh-CN"/>
              </w:rPr>
            </w:pPr>
            <w:r>
              <w:rPr>
                <w:rFonts w:hint="eastAsia" w:ascii="Times New Roman" w:hAnsi="Times New Roman" w:eastAsia="宋体" w:cs="Times New Roman"/>
                <w:vertAlign w:val="baseline"/>
                <w:lang w:eastAsia="zh-CN"/>
              </w:rPr>
              <w:t>内容</w:t>
            </w:r>
          </w:p>
        </w:tc>
        <w:tc>
          <w:tcPr>
            <w:tcW w:w="1457" w:type="pct"/>
            <w:vAlign w:val="center"/>
          </w:tcPr>
          <w:p>
            <w:pPr>
              <w:pStyle w:val="16"/>
              <w:spacing w:before="24" w:after="24"/>
              <w:rPr>
                <w:rFonts w:hint="eastAsia" w:ascii="Times New Roman" w:hAnsi="Times New Roman" w:eastAsia="宋体" w:cs="Times New Roman"/>
                <w:vertAlign w:val="baseline"/>
                <w:lang w:eastAsia="zh-CN"/>
              </w:rPr>
            </w:pPr>
            <w:r>
              <w:rPr>
                <w:rFonts w:hint="eastAsia" w:ascii="Times New Roman" w:hAnsi="Times New Roman" w:eastAsia="宋体" w:cs="Times New Roman"/>
                <w:vertAlign w:val="baseline"/>
                <w:lang w:eastAsia="zh-CN"/>
              </w:rPr>
              <w:t>项目情况</w:t>
            </w:r>
          </w:p>
        </w:tc>
        <w:tc>
          <w:tcPr>
            <w:tcW w:w="308" w:type="pct"/>
            <w:vAlign w:val="center"/>
          </w:tcPr>
          <w:p>
            <w:pPr>
              <w:pStyle w:val="16"/>
              <w:spacing w:before="24" w:after="24"/>
              <w:rPr>
                <w:rFonts w:hint="eastAsia" w:ascii="Times New Roman" w:hAnsi="Times New Roman" w:eastAsia="宋体" w:cs="Times New Roman"/>
                <w:vertAlign w:val="baseline"/>
                <w:lang w:eastAsia="zh-CN"/>
              </w:rPr>
            </w:pPr>
            <w:r>
              <w:rPr>
                <w:rFonts w:hint="eastAsia" w:ascii="Times New Roman" w:hAnsi="Times New Roman" w:eastAsia="宋体" w:cs="Times New Roman"/>
                <w:vertAlign w:val="baseline"/>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16"/>
              <w:spacing w:before="24" w:after="24"/>
              <w:rPr>
                <w:rFonts w:hint="eastAsia" w:ascii="Times New Roman" w:hAnsi="Times New Roman" w:eastAsia="宋体" w:cs="Times New Roman"/>
                <w:vertAlign w:val="baseline"/>
                <w:lang w:eastAsia="zh-CN"/>
              </w:rPr>
            </w:pPr>
            <w:r>
              <w:rPr>
                <w:rFonts w:hint="eastAsia" w:ascii="Times New Roman" w:hAnsi="Times New Roman" w:eastAsia="宋体" w:cs="Times New Roman"/>
                <w:vertAlign w:val="baseline"/>
                <w:lang w:eastAsia="zh-CN"/>
              </w:rPr>
              <w:t>第二十八条</w:t>
            </w:r>
          </w:p>
        </w:tc>
        <w:tc>
          <w:tcPr>
            <w:tcW w:w="2882" w:type="pct"/>
            <w:shd w:val="clear" w:color="auto" w:fill="auto"/>
            <w:vAlign w:val="center"/>
          </w:tcPr>
          <w:p>
            <w:pPr>
              <w:pStyle w:val="16"/>
              <w:ind w:firstLine="420" w:firstLineChars="200"/>
              <w:jc w:val="both"/>
            </w:pPr>
            <w:r>
              <w:rPr>
                <w:rFonts w:hint="eastAsia"/>
              </w:rPr>
              <w:t>排污单位排放水污染物，不得超过经核定的水污染物排放总量，并应当按照规定设置便于检查、采样的规范化排污口，悬挂标志牌；不得私设暗管或者采取其他规避监管的方式排放水污染物。</w:t>
            </w:r>
          </w:p>
          <w:p>
            <w:pPr>
              <w:pStyle w:val="16"/>
              <w:ind w:firstLine="420" w:firstLineChars="200"/>
              <w:jc w:val="both"/>
            </w:pPr>
            <w:r>
              <w:rPr>
                <w:rFonts w:hint="eastAsia"/>
              </w:rPr>
              <w:t>禁止在太湖流域设置不符合国家产业政策和水环境综合治理要求的造纸、制革、酒精、淀粉、冶金、酿造、印染、电镀等排放水污染物的生产项目，现有的生产项目不能实现达标排放的，应当依法关闭。</w:t>
            </w:r>
          </w:p>
          <w:p>
            <w:pPr>
              <w:pStyle w:val="16"/>
              <w:ind w:firstLine="420" w:firstLineChars="200"/>
              <w:jc w:val="both"/>
              <w:rPr>
                <w:rFonts w:hint="eastAsia" w:ascii="Times New Roman" w:hAnsi="Times New Roman" w:eastAsia="宋体" w:cs="Times New Roman"/>
                <w:snapToGrid w:val="0"/>
                <w:kern w:val="0"/>
                <w:sz w:val="21"/>
                <w:szCs w:val="21"/>
                <w:lang w:val="en-US" w:eastAsia="zh-CN" w:bidi="ar-SA"/>
              </w:rPr>
            </w:pPr>
            <w:r>
              <w:rPr>
                <w:rFonts w:hint="eastAsia"/>
              </w:rPr>
              <w:t>在太湖流域新设企业应当符合国家规定的清洁生产要求，现有的企业尚未达到清洁生产要求的，应当按照清洁生产规划要求进行技术改造，两省一市人民政府应当加强监督检查。</w:t>
            </w:r>
          </w:p>
        </w:tc>
        <w:tc>
          <w:tcPr>
            <w:tcW w:w="1457" w:type="pct"/>
            <w:shd w:val="clear" w:color="auto" w:fill="auto"/>
            <w:vAlign w:val="center"/>
          </w:tcPr>
          <w:p>
            <w:pPr>
              <w:pStyle w:val="16"/>
              <w:shd w:val="clear"/>
              <w:jc w:val="both"/>
            </w:pPr>
            <w:r>
              <w:rPr>
                <w:rFonts w:hint="eastAsia"/>
              </w:rPr>
              <w:t>项目生活污水</w:t>
            </w:r>
            <w:r>
              <w:rPr>
                <w:rFonts w:hint="eastAsia"/>
                <w:lang w:eastAsia="zh-CN"/>
              </w:rPr>
              <w:t>经化粪池处理后</w:t>
            </w:r>
            <w:r>
              <w:rPr>
                <w:rFonts w:hint="eastAsia"/>
              </w:rPr>
              <w:t>纳管排放，不新设排污口。</w:t>
            </w:r>
          </w:p>
          <w:p>
            <w:pPr>
              <w:pStyle w:val="16"/>
              <w:shd w:val="clear"/>
              <w:jc w:val="both"/>
              <w:rPr>
                <w:rFonts w:hint="eastAsia" w:ascii="Times New Roman" w:hAnsi="Times New Roman" w:eastAsia="宋体" w:cs="Times New Roman"/>
                <w:snapToGrid w:val="0"/>
                <w:kern w:val="0"/>
                <w:sz w:val="21"/>
                <w:szCs w:val="21"/>
                <w:lang w:val="en-US" w:eastAsia="zh-CN" w:bidi="ar-SA"/>
              </w:rPr>
            </w:pPr>
            <w:r>
              <w:rPr>
                <w:rFonts w:hint="eastAsia"/>
              </w:rPr>
              <w:t>本项目</w:t>
            </w:r>
            <w:r>
              <w:rPr>
                <w:rFonts w:hint="eastAsia"/>
                <w:lang w:eastAsia="zh-CN"/>
              </w:rPr>
              <w:t>为</w:t>
            </w:r>
            <w:r>
              <w:rPr>
                <w:rFonts w:hint="eastAsia"/>
                <w:lang w:val="en-US" w:eastAsia="zh-CN"/>
              </w:rPr>
              <w:t>塑料制品</w:t>
            </w:r>
            <w:r>
              <w:rPr>
                <w:rFonts w:hint="eastAsia"/>
                <w:lang w:eastAsia="zh-CN"/>
              </w:rPr>
              <w:t>制造项目</w:t>
            </w:r>
            <w:r>
              <w:rPr>
                <w:rFonts w:hint="eastAsia"/>
              </w:rPr>
              <w:t>，不属于太湖流域管理条例中排放水污染物的项目；企业拟按要求进行清洁生产工作。</w:t>
            </w:r>
          </w:p>
        </w:tc>
        <w:tc>
          <w:tcPr>
            <w:tcW w:w="308" w:type="pct"/>
            <w:vAlign w:val="center"/>
          </w:tcPr>
          <w:p>
            <w:pPr>
              <w:pStyle w:val="16"/>
              <w:rPr>
                <w:rFonts w:hint="eastAsia" w:ascii="Times New Roman" w:hAnsi="Times New Roman" w:eastAsia="宋体" w:cs="Times New Roman"/>
                <w:snapToGrid w:val="0"/>
                <w:kern w:val="0"/>
                <w:sz w:val="21"/>
                <w:szCs w:val="21"/>
                <w:lang w:val="en-US" w:eastAsia="zh-CN" w:bidi="ar-S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16"/>
              <w:spacing w:before="24" w:after="24"/>
              <w:rPr>
                <w:rFonts w:hint="eastAsia" w:ascii="Times New Roman" w:hAnsi="Times New Roman" w:eastAsia="宋体" w:cs="Times New Roman"/>
                <w:vertAlign w:val="baseline"/>
                <w:lang w:eastAsia="zh-CN"/>
              </w:rPr>
            </w:pPr>
            <w:r>
              <w:rPr>
                <w:rFonts w:hint="eastAsia" w:ascii="Times New Roman" w:hAnsi="Times New Roman" w:eastAsia="宋体" w:cs="Times New Roman"/>
                <w:vertAlign w:val="baseline"/>
                <w:lang w:eastAsia="zh-CN"/>
              </w:rPr>
              <w:t>第二十九条</w:t>
            </w:r>
          </w:p>
        </w:tc>
        <w:tc>
          <w:tcPr>
            <w:tcW w:w="2882" w:type="pct"/>
            <w:vAlign w:val="center"/>
          </w:tcPr>
          <w:p>
            <w:pPr>
              <w:pStyle w:val="16"/>
              <w:ind w:firstLine="420" w:firstLineChars="200"/>
              <w:jc w:val="both"/>
            </w:pPr>
            <w:r>
              <w:rPr>
                <w:rFonts w:hint="eastAsia"/>
              </w:rPr>
              <w:t>孟河、望虞河以外的其他主要入太湖河道，自河口1万米上溯至5万米河道岸线内及其岸线两侧各1000米范围内，禁止下列行为：</w:t>
            </w:r>
          </w:p>
          <w:p>
            <w:pPr>
              <w:pStyle w:val="16"/>
              <w:jc w:val="both"/>
            </w:pPr>
            <w:r>
              <w:rPr>
                <w:rFonts w:hint="eastAsia"/>
              </w:rPr>
              <w:t>（一）新建、扩建化工、医药生产项目；</w:t>
            </w:r>
          </w:p>
          <w:p>
            <w:pPr>
              <w:pStyle w:val="16"/>
              <w:jc w:val="both"/>
            </w:pPr>
            <w:r>
              <w:rPr>
                <w:rFonts w:hint="eastAsia"/>
              </w:rPr>
              <w:t>（二）新建、扩建污水集中处理设施排污口以外的排污口；</w:t>
            </w:r>
          </w:p>
          <w:p>
            <w:pPr>
              <w:pStyle w:val="16"/>
              <w:jc w:val="both"/>
              <w:rPr>
                <w:rFonts w:hint="eastAsia" w:ascii="Times New Roman" w:hAnsi="Times New Roman" w:eastAsia="宋体" w:cs="Times New Roman"/>
                <w:snapToGrid w:val="0"/>
                <w:kern w:val="0"/>
                <w:sz w:val="21"/>
                <w:szCs w:val="21"/>
                <w:lang w:val="en-US" w:eastAsia="zh-CN" w:bidi="ar-SA"/>
              </w:rPr>
            </w:pPr>
            <w:r>
              <w:rPr>
                <w:rFonts w:hint="eastAsia"/>
              </w:rPr>
              <w:t>（三）扩大水产养殖规模。</w:t>
            </w:r>
          </w:p>
        </w:tc>
        <w:tc>
          <w:tcPr>
            <w:tcW w:w="1457" w:type="pct"/>
            <w:vAlign w:val="center"/>
          </w:tcPr>
          <w:p>
            <w:pPr>
              <w:pStyle w:val="16"/>
              <w:jc w:val="both"/>
              <w:rPr>
                <w:rFonts w:hint="eastAsia" w:ascii="Times New Roman" w:hAnsi="Times New Roman" w:eastAsia="宋体" w:cs="Times New Roman"/>
                <w:snapToGrid w:val="0"/>
                <w:kern w:val="0"/>
                <w:sz w:val="21"/>
                <w:szCs w:val="21"/>
                <w:lang w:val="en-US" w:eastAsia="zh-CN" w:bidi="ar-SA"/>
              </w:rPr>
            </w:pPr>
            <w:r>
              <w:rPr>
                <w:rFonts w:hint="eastAsia"/>
              </w:rPr>
              <w:t>项目</w:t>
            </w:r>
            <w:r>
              <w:rPr>
                <w:rFonts w:hint="eastAsia"/>
                <w:lang w:eastAsia="zh-CN"/>
              </w:rPr>
              <w:t>不在第二十九条所列范围内。</w:t>
            </w:r>
          </w:p>
        </w:tc>
        <w:tc>
          <w:tcPr>
            <w:tcW w:w="308" w:type="pct"/>
            <w:vAlign w:val="center"/>
          </w:tcPr>
          <w:p>
            <w:pPr>
              <w:pStyle w:val="16"/>
              <w:rPr>
                <w:rFonts w:hint="eastAsia" w:ascii="Times New Roman" w:hAnsi="Times New Roman" w:eastAsia="宋体" w:cs="Times New Roman"/>
                <w:snapToGrid w:val="0"/>
                <w:kern w:val="0"/>
                <w:sz w:val="21"/>
                <w:szCs w:val="21"/>
                <w:lang w:val="en-US" w:eastAsia="zh-CN" w:bidi="ar-S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16"/>
              <w:spacing w:before="24" w:after="24"/>
              <w:rPr>
                <w:rFonts w:hint="eastAsia" w:ascii="Times New Roman" w:hAnsi="Times New Roman" w:eastAsia="宋体" w:cs="Times New Roman"/>
                <w:vertAlign w:val="baseline"/>
                <w:lang w:eastAsia="zh-CN"/>
              </w:rPr>
            </w:pPr>
            <w:r>
              <w:rPr>
                <w:rFonts w:hint="eastAsia" w:ascii="Times New Roman" w:hAnsi="Times New Roman" w:eastAsia="宋体" w:cs="Times New Roman"/>
                <w:vertAlign w:val="baseline"/>
                <w:lang w:eastAsia="zh-CN"/>
              </w:rPr>
              <w:t>第三十条</w:t>
            </w:r>
          </w:p>
        </w:tc>
        <w:tc>
          <w:tcPr>
            <w:tcW w:w="2882" w:type="pct"/>
            <w:vAlign w:val="center"/>
          </w:tcPr>
          <w:p>
            <w:pPr>
              <w:pStyle w:val="16"/>
              <w:ind w:firstLine="420" w:firstLineChars="200"/>
              <w:jc w:val="both"/>
            </w:pPr>
            <w:r>
              <w:rPr>
                <w:rFonts w:hint="eastAsia"/>
              </w:rPr>
              <w:t>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pPr>
              <w:pStyle w:val="16"/>
              <w:jc w:val="both"/>
            </w:pPr>
            <w:r>
              <w:rPr>
                <w:rFonts w:hint="eastAsia"/>
              </w:rPr>
              <w:t>（一）设置剧毒物质、危险化学品的贮存、输送设施和废物回收场、垃圾场；</w:t>
            </w:r>
          </w:p>
          <w:p>
            <w:pPr>
              <w:pStyle w:val="16"/>
              <w:jc w:val="both"/>
            </w:pPr>
            <w:r>
              <w:rPr>
                <w:rFonts w:hint="eastAsia"/>
              </w:rPr>
              <w:t>（二）设置水上餐饮经营设施；</w:t>
            </w:r>
          </w:p>
          <w:p>
            <w:pPr>
              <w:pStyle w:val="16"/>
              <w:jc w:val="both"/>
            </w:pPr>
            <w:r>
              <w:rPr>
                <w:rFonts w:hint="eastAsia"/>
              </w:rPr>
              <w:t>（三）新建、扩建高尔夫球场；</w:t>
            </w:r>
          </w:p>
          <w:p>
            <w:pPr>
              <w:pStyle w:val="16"/>
              <w:jc w:val="both"/>
            </w:pPr>
            <w:r>
              <w:rPr>
                <w:rFonts w:hint="eastAsia"/>
              </w:rPr>
              <w:t>（四）新建、扩建畜禽养殖场；</w:t>
            </w:r>
          </w:p>
          <w:p>
            <w:pPr>
              <w:pStyle w:val="16"/>
              <w:jc w:val="both"/>
            </w:pPr>
            <w:r>
              <w:rPr>
                <w:rFonts w:hint="eastAsia"/>
              </w:rPr>
              <w:t>（五）新建、扩建向水体排放污染物的建设项目；</w:t>
            </w:r>
          </w:p>
          <w:p>
            <w:pPr>
              <w:pStyle w:val="16"/>
              <w:jc w:val="both"/>
              <w:rPr>
                <w:rFonts w:hint="eastAsia" w:ascii="Times New Roman" w:hAnsi="Times New Roman" w:eastAsia="宋体" w:cs="Times New Roman"/>
                <w:snapToGrid w:val="0"/>
                <w:kern w:val="0"/>
                <w:sz w:val="21"/>
                <w:szCs w:val="21"/>
                <w:lang w:val="en-US" w:eastAsia="zh-CN" w:bidi="ar-SA"/>
              </w:rPr>
            </w:pPr>
            <w:r>
              <w:rPr>
                <w:rFonts w:hint="eastAsia"/>
              </w:rPr>
              <w:t>（六）本条例第二十九条规定的行为。</w:t>
            </w:r>
          </w:p>
        </w:tc>
        <w:tc>
          <w:tcPr>
            <w:tcW w:w="1457" w:type="pct"/>
            <w:vAlign w:val="center"/>
          </w:tcPr>
          <w:p>
            <w:pPr>
              <w:pStyle w:val="16"/>
              <w:jc w:val="both"/>
              <w:rPr>
                <w:rFonts w:hint="eastAsia" w:ascii="Times New Roman" w:hAnsi="Times New Roman" w:eastAsia="宋体" w:cs="Times New Roman"/>
                <w:snapToGrid w:val="0"/>
                <w:kern w:val="0"/>
                <w:sz w:val="21"/>
                <w:szCs w:val="21"/>
                <w:lang w:val="en-US" w:eastAsia="zh-CN" w:bidi="ar-SA"/>
              </w:rPr>
            </w:pPr>
            <w:r>
              <w:rPr>
                <w:rFonts w:hint="eastAsia"/>
              </w:rPr>
              <w:t>项目不在第三十条所列范围内，项目也不属于条款所列禁止建设项目。</w:t>
            </w:r>
          </w:p>
        </w:tc>
        <w:tc>
          <w:tcPr>
            <w:tcW w:w="308" w:type="pct"/>
            <w:vAlign w:val="center"/>
          </w:tcPr>
          <w:p>
            <w:pPr>
              <w:pStyle w:val="16"/>
              <w:rPr>
                <w:rFonts w:hint="eastAsia" w:ascii="Times New Roman" w:hAnsi="Times New Roman" w:eastAsia="宋体" w:cs="Times New Roman"/>
                <w:snapToGrid w:val="0"/>
                <w:kern w:val="0"/>
                <w:sz w:val="21"/>
                <w:szCs w:val="21"/>
                <w:lang w:val="en-US" w:eastAsia="zh-CN" w:bidi="ar-SA"/>
              </w:rPr>
            </w:pPr>
            <w:r>
              <w:rPr>
                <w:rFonts w:hint="eastAsia"/>
              </w:rPr>
              <w:t>符合</w:t>
            </w:r>
          </w:p>
        </w:tc>
      </w:tr>
    </w:tbl>
    <w:p>
      <w:pPr>
        <w:autoSpaceDE w:val="0"/>
        <w:autoSpaceDN w:val="0"/>
        <w:adjustRightInd w:val="0"/>
        <w:spacing w:line="480" w:lineRule="exact"/>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由上表分析可知，项目符合《太湖流域管理条例》有关要求。</w:t>
      </w:r>
    </w:p>
    <w:p>
      <w:pPr>
        <w:numPr>
          <w:ilvl w:val="0"/>
          <w:numId w:val="0"/>
        </w:numPr>
        <w:autoSpaceDE w:val="0"/>
        <w:autoSpaceDN w:val="0"/>
        <w:adjustRightInd w:val="0"/>
        <w:spacing w:line="480" w:lineRule="exact"/>
        <w:ind w:leftChars="0" w:firstLine="420" w:firstLineChars="200"/>
        <w:rPr>
          <w:rFonts w:hint="eastAsia" w:cs="Times New Roman"/>
          <w:b/>
          <w:bCs/>
          <w:lang w:val="en-US" w:eastAsia="zh-CN"/>
        </w:rPr>
      </w:pPr>
      <w:r>
        <w:rPr>
          <w:rFonts w:hint="eastAsia"/>
        </w:rPr>
        <w:t>（</w:t>
      </w:r>
      <w:r>
        <w:rPr>
          <w:rFonts w:hint="eastAsia"/>
          <w:lang w:val="en-US" w:eastAsia="zh-CN"/>
        </w:rPr>
        <w:t>9</w:t>
      </w:r>
      <w:r>
        <w:rPr>
          <w:rFonts w:hint="eastAsia"/>
        </w:rPr>
        <w:t>）</w:t>
      </w:r>
      <w:r>
        <w:rPr>
          <w:rFonts w:hint="eastAsia"/>
          <w:lang w:eastAsia="zh-CN"/>
        </w:rPr>
        <w:t>、</w:t>
      </w:r>
      <w:r>
        <w:rPr>
          <w:rFonts w:hint="eastAsia" w:cs="Times New Roman"/>
          <w:b/>
          <w:bCs/>
          <w:lang w:val="en-US" w:eastAsia="zh-CN"/>
        </w:rPr>
        <w:t>与《关于</w:t>
      </w:r>
      <w:r>
        <w:rPr>
          <w:rFonts w:hint="eastAsia"/>
          <w:b/>
          <w:bCs/>
          <w:snapToGrid/>
          <w:kern w:val="21"/>
        </w:rPr>
        <w:t>落实〈水污染防治行动计划〉实施区域差别化环境准入的指导意见</w:t>
      </w:r>
      <w:r>
        <w:rPr>
          <w:rFonts w:hint="eastAsia" w:cs="Times New Roman"/>
          <w:b/>
          <w:bCs/>
          <w:lang w:val="en-US" w:eastAsia="zh-CN"/>
        </w:rPr>
        <w:t>》符合性分析</w:t>
      </w:r>
    </w:p>
    <w:p>
      <w:pPr>
        <w:autoSpaceDE w:val="0"/>
        <w:autoSpaceDN w:val="0"/>
        <w:adjustRightInd w:val="0"/>
        <w:spacing w:line="480" w:lineRule="exact"/>
        <w:ind w:firstLine="420" w:firstLineChars="200"/>
        <w:rPr>
          <w:snapToGrid/>
          <w:kern w:val="21"/>
        </w:rPr>
      </w:pPr>
      <w:r>
        <w:rPr>
          <w:rFonts w:hint="eastAsia"/>
          <w:snapToGrid/>
          <w:kern w:val="21"/>
        </w:rPr>
        <w:t>建设项目与《关于落实〈水污染防治行动计划〉实施区域差别化环境准入的指导意见》（环环评〔2016〕190号）有关要求符合性分析详见表1-5。</w:t>
      </w:r>
    </w:p>
    <w:p>
      <w:pPr>
        <w:pStyle w:val="13"/>
        <w:snapToGrid/>
        <w:spacing w:before="120"/>
        <w:rPr>
          <w:snapToGrid/>
          <w:kern w:val="21"/>
        </w:rPr>
      </w:pPr>
      <w:r>
        <w:rPr>
          <w:rFonts w:hint="eastAsia"/>
          <w:snapToGrid/>
          <w:kern w:val="21"/>
        </w:rPr>
        <w:t>表1-5  建设项目与环环评〔2016〕190号有关要求符合性分析</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
        <w:gridCol w:w="3789"/>
        <w:gridCol w:w="3720"/>
        <w:gridCol w:w="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pPr>
              <w:pStyle w:val="16"/>
            </w:pPr>
            <w:r>
              <w:rPr>
                <w:rFonts w:hint="eastAsia"/>
              </w:rPr>
              <w:t>序号</w:t>
            </w:r>
          </w:p>
        </w:tc>
        <w:tc>
          <w:tcPr>
            <w:tcW w:w="2222" w:type="pct"/>
            <w:vAlign w:val="center"/>
          </w:tcPr>
          <w:p>
            <w:pPr>
              <w:pStyle w:val="16"/>
            </w:pPr>
            <w:r>
              <w:rPr>
                <w:rFonts w:hint="eastAsia"/>
              </w:rPr>
              <w:t>有关要求</w:t>
            </w:r>
          </w:p>
        </w:tc>
        <w:tc>
          <w:tcPr>
            <w:tcW w:w="2182" w:type="pct"/>
            <w:vAlign w:val="center"/>
          </w:tcPr>
          <w:p>
            <w:pPr>
              <w:pStyle w:val="16"/>
            </w:pPr>
            <w:r>
              <w:rPr>
                <w:rFonts w:hint="eastAsia"/>
              </w:rPr>
              <w:t>项目情况</w:t>
            </w:r>
          </w:p>
        </w:tc>
        <w:tc>
          <w:tcPr>
            <w:tcW w:w="307" w:type="pct"/>
            <w:vAlign w:val="center"/>
          </w:tcPr>
          <w:p>
            <w:pPr>
              <w:pStyle w:val="16"/>
            </w:pPr>
            <w:r>
              <w:rPr>
                <w:rFonts w:hint="eastAsi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pPr>
              <w:pStyle w:val="16"/>
              <w:jc w:val="center"/>
            </w:pPr>
            <w:r>
              <w:rPr>
                <w:rFonts w:hint="eastAsia"/>
              </w:rPr>
              <w:t>1</w:t>
            </w:r>
          </w:p>
        </w:tc>
        <w:tc>
          <w:tcPr>
            <w:tcW w:w="2222" w:type="pct"/>
            <w:shd w:val="clear" w:color="auto" w:fill="auto"/>
            <w:vAlign w:val="center"/>
          </w:tcPr>
          <w:p>
            <w:pPr>
              <w:pStyle w:val="16"/>
              <w:jc w:val="both"/>
              <w:rPr>
                <w:highlight w:val="none"/>
              </w:rPr>
            </w:pPr>
            <w:r>
              <w:rPr>
                <w:rFonts w:hint="eastAsia"/>
                <w:highlight w:val="none"/>
              </w:rPr>
              <w:t>对太湖流域新建原料化工、燃料、颜料及排放氮磷污染物的工业项目，不予环境准入；实施江、湖一体的氮、磷污染控制，防范和治理江、湖富营养化。严格沿江港口码头项目环境准入，强化环境风险防范措施。</w:t>
            </w:r>
          </w:p>
        </w:tc>
        <w:tc>
          <w:tcPr>
            <w:tcW w:w="2182" w:type="pct"/>
            <w:shd w:val="clear" w:color="auto" w:fill="auto"/>
            <w:vAlign w:val="center"/>
          </w:tcPr>
          <w:p>
            <w:pPr>
              <w:pStyle w:val="16"/>
              <w:jc w:val="both"/>
              <w:rPr>
                <w:rFonts w:hint="eastAsia" w:eastAsia="宋体"/>
                <w:highlight w:val="none"/>
                <w:lang w:eastAsia="zh-CN"/>
              </w:rPr>
            </w:pPr>
            <w:r>
              <w:rPr>
                <w:rFonts w:hint="eastAsia"/>
                <w:highlight w:val="none"/>
                <w:lang w:eastAsia="zh-CN"/>
              </w:rPr>
              <w:t>项目位于太</w:t>
            </w:r>
            <w:r>
              <w:rPr>
                <w:rFonts w:hint="eastAsia" w:ascii="Times New Roman" w:hAnsi="Times New Roman" w:eastAsia="宋体"/>
                <w:highlight w:val="none"/>
                <w:lang w:eastAsia="zh-CN"/>
              </w:rPr>
              <w:t>湖流域，</w:t>
            </w:r>
            <w:r>
              <w:rPr>
                <w:rFonts w:hint="eastAsia"/>
                <w:highlight w:val="none"/>
                <w:lang w:eastAsia="zh-CN"/>
              </w:rPr>
              <w:t>属于</w:t>
            </w:r>
            <w:r>
              <w:rPr>
                <w:rFonts w:hint="eastAsia" w:ascii="Times New Roman" w:hAnsi="Times New Roman" w:eastAsia="宋体"/>
                <w:highlight w:val="none"/>
                <w:lang w:val="en-US" w:eastAsia="zh-CN"/>
              </w:rPr>
              <w:t>塑料制品制造项目</w:t>
            </w:r>
            <w:r>
              <w:rPr>
                <w:rFonts w:hint="eastAsia" w:ascii="Times New Roman" w:hAnsi="Times New Roman" w:eastAsia="宋体"/>
                <w:highlight w:val="none"/>
                <w:lang w:eastAsia="zh-CN"/>
              </w:rPr>
              <w:t>，不属于</w:t>
            </w:r>
            <w:r>
              <w:rPr>
                <w:rFonts w:hint="eastAsia"/>
                <w:highlight w:val="none"/>
                <w:lang w:eastAsia="zh-CN"/>
              </w:rPr>
              <w:t>化工、燃料、颜料项目。项目仅产生生活污水，不新增含氮、磷污染物的生产废水，不涉及沿江港口码头内容，不在不予以环境准入项目范围内。</w:t>
            </w:r>
          </w:p>
        </w:tc>
        <w:tc>
          <w:tcPr>
            <w:tcW w:w="307" w:type="pct"/>
            <w:vAlign w:val="center"/>
          </w:tcPr>
          <w:p>
            <w:pPr>
              <w:pStyle w:val="16"/>
            </w:pPr>
            <w:r>
              <w:rPr>
                <w:rFonts w:hint="eastAsia"/>
              </w:rPr>
              <w:t>符合</w:t>
            </w:r>
          </w:p>
        </w:tc>
      </w:tr>
    </w:tbl>
    <w:p>
      <w:pPr>
        <w:autoSpaceDE w:val="0"/>
        <w:autoSpaceDN w:val="0"/>
        <w:adjustRightInd w:val="0"/>
        <w:spacing w:line="480" w:lineRule="exact"/>
        <w:ind w:firstLine="420" w:firstLineChars="200"/>
        <w:rPr>
          <w:snapToGrid/>
          <w:kern w:val="21"/>
        </w:rPr>
      </w:pPr>
      <w:r>
        <w:rPr>
          <w:rFonts w:hint="eastAsia"/>
          <w:snapToGrid/>
          <w:kern w:val="21"/>
        </w:rPr>
        <w:t>由上表可知，本项目符合《关于落实〈水污染防治行动计划〉实施区域差别化环境准入的指导意见》（环环评〔2016〕190号）的有关要求。</w:t>
      </w:r>
    </w:p>
    <w:p>
      <w:pPr>
        <w:autoSpaceDE w:val="0"/>
        <w:autoSpaceDN w:val="0"/>
        <w:adjustRightInd w:val="0"/>
        <w:spacing w:line="480" w:lineRule="exact"/>
        <w:ind w:left="0" w:firstLine="420" w:firstLineChars="200"/>
        <w:rPr>
          <w:rFonts w:hint="eastAsia" w:ascii="Times New Roman" w:hAnsi="Times New Roman" w:eastAsia="宋体" w:cs="Times New Roman"/>
          <w:b/>
          <w:bCs/>
          <w:lang w:val="en-US" w:eastAsia="zh-CN"/>
        </w:rPr>
      </w:pPr>
      <w:r>
        <w:rPr>
          <w:rFonts w:hint="eastAsia"/>
        </w:rPr>
        <w:t>（</w:t>
      </w:r>
      <w:r>
        <w:rPr>
          <w:rFonts w:hint="eastAsia"/>
          <w:lang w:val="en-US" w:eastAsia="zh-CN"/>
        </w:rPr>
        <w:t>10</w:t>
      </w:r>
      <w:r>
        <w:rPr>
          <w:rFonts w:hint="eastAsia"/>
        </w:rPr>
        <w:t>）</w:t>
      </w:r>
      <w:r>
        <w:rPr>
          <w:rFonts w:hint="eastAsia"/>
          <w:lang w:eastAsia="zh-CN"/>
        </w:rPr>
        <w:t>、</w:t>
      </w:r>
      <w:r>
        <w:rPr>
          <w:rFonts w:hint="eastAsia" w:ascii="Times New Roman" w:hAnsi="Times New Roman" w:eastAsia="宋体" w:cs="Times New Roman"/>
          <w:b/>
          <w:bCs/>
          <w:lang w:val="en-US" w:eastAsia="zh-CN"/>
        </w:rPr>
        <w:t>与《&lt;长江经济带发展负面清单指南（试行，2022年版）&gt;浙江省实施细则》符合性分析</w:t>
      </w:r>
    </w:p>
    <w:p>
      <w:pPr>
        <w:numPr>
          <w:ilvl w:val="-1"/>
          <w:numId w:val="0"/>
        </w:numPr>
        <w:autoSpaceDE w:val="0"/>
        <w:autoSpaceDN w:val="0"/>
        <w:adjustRightInd w:val="0"/>
        <w:spacing w:line="480" w:lineRule="exact"/>
        <w:ind w:firstLine="420" w:firstLineChars="200"/>
        <w:rPr>
          <w:rFonts w:hint="eastAsia" w:cs="Times New Roman"/>
          <w:lang w:val="en-US" w:eastAsia="zh-CN"/>
        </w:rPr>
      </w:pPr>
      <w:r>
        <w:rPr>
          <w:rFonts w:hint="eastAsia" w:cs="Times New Roman"/>
          <w:lang w:val="en-US" w:eastAsia="zh-CN"/>
        </w:rPr>
        <w:t>经对照《&lt;长江经济带发展负面清单指南（试行，2022年版）&gt;浙江省实施细则》，本项目符合相关实施细则要求，具体见表1-6。</w:t>
      </w:r>
    </w:p>
    <w:p>
      <w:pPr>
        <w:pStyle w:val="13"/>
        <w:snapToGrid/>
        <w:spacing w:before="120"/>
        <w:rPr>
          <w:rFonts w:hint="eastAsia" w:eastAsia="宋体"/>
          <w:snapToGrid/>
          <w:kern w:val="21"/>
          <w:lang w:val="en-US" w:eastAsia="zh-CN"/>
        </w:rPr>
      </w:pPr>
      <w:r>
        <w:rPr>
          <w:rFonts w:hint="eastAsia" w:eastAsia="宋体"/>
          <w:snapToGrid/>
          <w:kern w:val="21"/>
          <w:lang w:val="en-US" w:eastAsia="zh-CN"/>
        </w:rPr>
        <w:t>表1-6  与浙江省实施细则的符合性分析</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5335"/>
        <w:gridCol w:w="2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eastAsia="宋体"/>
                <w:lang w:val="en-US" w:eastAsia="zh-CN"/>
              </w:rPr>
            </w:pPr>
            <w:r>
              <w:rPr>
                <w:rFonts w:hint="eastAsia" w:eastAsia="宋体"/>
                <w:lang w:val="en-US" w:eastAsia="zh-CN"/>
              </w:rPr>
              <w:t>序号</w:t>
            </w:r>
          </w:p>
        </w:tc>
        <w:tc>
          <w:tcPr>
            <w:tcW w:w="0" w:type="auto"/>
            <w:vAlign w:val="center"/>
          </w:tcPr>
          <w:p>
            <w:pPr>
              <w:pStyle w:val="16"/>
              <w:jc w:val="center"/>
              <w:rPr>
                <w:rFonts w:hint="default" w:eastAsia="宋体"/>
                <w:lang w:val="en-US" w:eastAsia="zh-CN"/>
              </w:rPr>
            </w:pPr>
            <w:r>
              <w:rPr>
                <w:rFonts w:hint="eastAsia" w:eastAsia="宋体"/>
                <w:lang w:val="en-US" w:eastAsia="zh-CN"/>
              </w:rPr>
              <w:t>负面清单</w:t>
            </w:r>
          </w:p>
        </w:tc>
        <w:tc>
          <w:tcPr>
            <w:tcW w:w="0" w:type="auto"/>
            <w:vAlign w:val="center"/>
          </w:tcPr>
          <w:p>
            <w:pPr>
              <w:pStyle w:val="16"/>
              <w:jc w:val="center"/>
              <w:rPr>
                <w:rFonts w:hint="default" w:eastAsia="宋体"/>
                <w:lang w:val="en-US" w:eastAsia="zh-CN"/>
              </w:rPr>
            </w:pPr>
            <w:r>
              <w:rPr>
                <w:rFonts w:hint="eastAsia" w:eastAsia="宋体"/>
                <w:lang w:val="en-US" w:eastAsia="zh-CN"/>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eastAsia="宋体"/>
                <w:lang w:val="en-US" w:eastAsia="zh-CN"/>
              </w:rPr>
            </w:pPr>
            <w:r>
              <w:rPr>
                <w:rFonts w:hint="eastAsia" w:eastAsia="宋体"/>
                <w:lang w:val="en-US" w:eastAsia="zh-CN"/>
              </w:rPr>
              <w:t>1</w:t>
            </w:r>
          </w:p>
        </w:tc>
        <w:tc>
          <w:tcPr>
            <w:tcW w:w="0" w:type="auto"/>
            <w:vAlign w:val="center"/>
          </w:tcPr>
          <w:p>
            <w:pPr>
              <w:pStyle w:val="16"/>
              <w:jc w:val="both"/>
              <w:rPr>
                <w:rFonts w:hint="default" w:eastAsia="宋体"/>
                <w:lang w:val="en-US" w:eastAsia="zh-CN"/>
              </w:rPr>
            </w:pPr>
            <w:r>
              <w:rPr>
                <w:rFonts w:hint="eastAsia" w:eastAsia="宋体"/>
                <w:lang w:val="en-US" w:eastAsia="zh-CN"/>
              </w:rPr>
              <w:t>港口码头项目建设必须严格遵守《中华人民共和国港口法》、交通运输部《港口规划管理规定》、《港口工程建设管理规定》以及《浙江省港口管理条例》的规定。</w:t>
            </w:r>
          </w:p>
        </w:tc>
        <w:tc>
          <w:tcPr>
            <w:tcW w:w="0" w:type="auto"/>
            <w:vAlign w:val="center"/>
          </w:tcPr>
          <w:p>
            <w:pPr>
              <w:pStyle w:val="16"/>
              <w:jc w:val="both"/>
              <w:rPr>
                <w:rFonts w:hint="default" w:eastAsia="宋体"/>
                <w:lang w:val="en-US" w:eastAsia="zh-CN"/>
              </w:rPr>
            </w:pPr>
            <w:r>
              <w:rPr>
                <w:rFonts w:hint="eastAsia" w:eastAsia="宋体"/>
                <w:lang w:val="en-US" w:eastAsia="zh-CN"/>
              </w:rPr>
              <w:t>本项目为塑料制品制造项目，不属于港口码头项目。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eastAsia="宋体"/>
                <w:lang w:val="en-US" w:eastAsia="zh-CN"/>
              </w:rPr>
            </w:pPr>
            <w:r>
              <w:rPr>
                <w:rFonts w:hint="eastAsia" w:eastAsia="宋体"/>
                <w:lang w:val="en-US" w:eastAsia="zh-CN"/>
              </w:rPr>
              <w:t>2</w:t>
            </w:r>
          </w:p>
        </w:tc>
        <w:tc>
          <w:tcPr>
            <w:tcW w:w="0" w:type="auto"/>
            <w:vAlign w:val="center"/>
          </w:tcPr>
          <w:p>
            <w:pPr>
              <w:pStyle w:val="16"/>
              <w:jc w:val="both"/>
              <w:rPr>
                <w:rFonts w:hint="eastAsia" w:eastAsia="宋体"/>
                <w:lang w:val="en-US" w:eastAsia="zh-CN"/>
              </w:rPr>
            </w:pPr>
            <w:r>
              <w:rPr>
                <w:rFonts w:hint="eastAsia" w:eastAsia="宋体"/>
                <w:lang w:val="en-US" w:eastAsia="zh-CN"/>
              </w:rPr>
              <w:t>禁止建设不符合《全国沿海港口布局规划》、《全国内河航道与港口布局规划》、《浙江省沿海港口布局规划》、《浙江省内河航运发展规划》以及项目所在地港口总体规划、国土空间规划的港口码头项目。</w:t>
            </w:r>
          </w:p>
          <w:p>
            <w:pPr>
              <w:pStyle w:val="16"/>
              <w:jc w:val="both"/>
              <w:rPr>
                <w:rFonts w:hint="default" w:eastAsia="宋体"/>
                <w:lang w:val="en-US" w:eastAsia="zh-CN"/>
              </w:rPr>
            </w:pPr>
            <w:r>
              <w:rPr>
                <w:rFonts w:hint="eastAsia" w:eastAsia="宋体"/>
                <w:lang w:val="en-US" w:eastAsia="zh-CN"/>
              </w:rPr>
              <w:t>经国务院或国家发展改革委审批、核准的港口码头项目，军事和渔业港口码头项目，按照国家有关规定执行。城市休闲旅游配套码头、陆岛交通码头等涉及民生的港口码头项目，结合国土空间规划和督导交通专项规划等另行研究执行。</w:t>
            </w:r>
          </w:p>
        </w:tc>
        <w:tc>
          <w:tcPr>
            <w:tcW w:w="0" w:type="auto"/>
            <w:vAlign w:val="center"/>
          </w:tcPr>
          <w:p>
            <w:pPr>
              <w:pStyle w:val="16"/>
              <w:jc w:val="both"/>
              <w:rPr>
                <w:rFonts w:hint="default" w:eastAsia="宋体"/>
                <w:lang w:val="en-US" w:eastAsia="zh-CN"/>
              </w:rPr>
            </w:pPr>
            <w:r>
              <w:rPr>
                <w:rFonts w:hint="eastAsia" w:eastAsia="宋体"/>
                <w:lang w:val="en-US" w:eastAsia="zh-CN"/>
              </w:rPr>
              <w:t>本项目不属于港口码头项目。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eastAsia="宋体"/>
                <w:lang w:val="en-US" w:eastAsia="zh-CN"/>
              </w:rPr>
            </w:pPr>
            <w:r>
              <w:rPr>
                <w:rFonts w:hint="eastAsia" w:eastAsia="宋体"/>
                <w:lang w:val="en-US" w:eastAsia="zh-CN"/>
              </w:rPr>
              <w:t>3</w:t>
            </w:r>
          </w:p>
        </w:tc>
        <w:tc>
          <w:tcPr>
            <w:tcW w:w="0" w:type="auto"/>
            <w:vAlign w:val="center"/>
          </w:tcPr>
          <w:p>
            <w:pPr>
              <w:pStyle w:val="16"/>
              <w:jc w:val="both"/>
              <w:rPr>
                <w:rFonts w:hint="eastAsia" w:eastAsia="宋体"/>
                <w:lang w:val="en-US" w:eastAsia="zh-CN"/>
              </w:rPr>
            </w:pPr>
            <w:r>
              <w:rPr>
                <w:rFonts w:hint="eastAsia" w:eastAsia="宋体"/>
                <w:lang w:val="en-US" w:eastAsia="zh-CN"/>
              </w:rPr>
              <w:t>禁止在自然保护地的岸线和河段范围内投资建设不符合《浙江省自然保护地建设项目准入负面清单（试行）》的项目。禁止在自然保护地的岸线和河段范围内采石、采砂、采土、砍伐及其他严重改变地形地貌、破坏自然生态、影响自然景观的开发利用行为。</w:t>
            </w:r>
          </w:p>
          <w:p>
            <w:pPr>
              <w:pStyle w:val="16"/>
              <w:jc w:val="both"/>
              <w:rPr>
                <w:rFonts w:hint="eastAsia" w:eastAsia="宋体"/>
                <w:lang w:val="en-US" w:eastAsia="zh-CN"/>
              </w:rPr>
            </w:pPr>
            <w:r>
              <w:rPr>
                <w:rFonts w:hint="eastAsia" w:eastAsia="宋体"/>
                <w:lang w:val="en-US" w:eastAsia="zh-CN"/>
              </w:rPr>
              <w:t>禁止在Ⅰ级林地、一级国家级公益林内建设项目。</w:t>
            </w:r>
          </w:p>
          <w:p>
            <w:pPr>
              <w:pStyle w:val="16"/>
              <w:jc w:val="both"/>
              <w:rPr>
                <w:rFonts w:hint="default" w:eastAsia="宋体"/>
                <w:lang w:val="en-US" w:eastAsia="zh-CN"/>
              </w:rPr>
            </w:pPr>
            <w:r>
              <w:rPr>
                <w:rFonts w:hint="eastAsia" w:eastAsia="宋体"/>
                <w:lang w:val="en-US" w:eastAsia="zh-CN"/>
              </w:rPr>
              <w:t>自然保护地由省林业局会同相关管理机构界定。</w:t>
            </w:r>
          </w:p>
        </w:tc>
        <w:tc>
          <w:tcPr>
            <w:tcW w:w="0" w:type="auto"/>
            <w:vAlign w:val="center"/>
          </w:tcPr>
          <w:p>
            <w:pPr>
              <w:pStyle w:val="16"/>
              <w:jc w:val="both"/>
              <w:rPr>
                <w:rFonts w:hint="default" w:eastAsia="宋体"/>
                <w:lang w:val="en-US" w:eastAsia="zh-CN"/>
              </w:rPr>
            </w:pPr>
            <w:r>
              <w:rPr>
                <w:rFonts w:hint="eastAsia" w:eastAsia="宋体"/>
                <w:lang w:val="en-US" w:eastAsia="zh-CN"/>
              </w:rPr>
              <w:t>本项目拟建地不涉及自然保护地的岸线和河段。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both"/>
              <w:rPr>
                <w:rFonts w:hint="default" w:eastAsia="宋体"/>
                <w:lang w:val="en-US" w:eastAsia="zh-CN"/>
              </w:rPr>
            </w:pPr>
            <w:r>
              <w:rPr>
                <w:rFonts w:hint="eastAsia" w:eastAsia="宋体"/>
                <w:lang w:val="en-US" w:eastAsia="zh-CN"/>
              </w:rPr>
              <w:t>4</w:t>
            </w:r>
          </w:p>
        </w:tc>
        <w:tc>
          <w:tcPr>
            <w:tcW w:w="0" w:type="auto"/>
            <w:vAlign w:val="center"/>
          </w:tcPr>
          <w:p>
            <w:pPr>
              <w:pStyle w:val="16"/>
              <w:jc w:val="both"/>
              <w:rPr>
                <w:rFonts w:hint="eastAsia" w:eastAsia="宋体"/>
                <w:lang w:val="en-US" w:eastAsia="zh-CN"/>
              </w:rPr>
            </w:pPr>
            <w:r>
              <w:rPr>
                <w:rFonts w:hint="eastAsia" w:eastAsia="宋体"/>
                <w:lang w:val="en-US" w:eastAsia="zh-CN"/>
              </w:rPr>
              <w:t>禁止在饮用水水源一级保护区、二级保护区、准保护区的岸线和河段范围内投资建设不符合《浙江省饮用水水源保护条例》的项目。</w:t>
            </w:r>
          </w:p>
          <w:p>
            <w:pPr>
              <w:pStyle w:val="16"/>
              <w:jc w:val="both"/>
              <w:rPr>
                <w:rFonts w:hint="default" w:eastAsia="宋体"/>
                <w:lang w:val="en-US" w:eastAsia="zh-CN"/>
              </w:rPr>
            </w:pPr>
            <w:r>
              <w:rPr>
                <w:rFonts w:hint="eastAsia" w:eastAsia="宋体"/>
                <w:lang w:val="en-US" w:eastAsia="zh-CN"/>
              </w:rPr>
              <w:t>饮用水水源一级保护区、二级保护区、准保护区由省生态环境厅会同相关管理机构界定。</w:t>
            </w:r>
          </w:p>
        </w:tc>
        <w:tc>
          <w:tcPr>
            <w:tcW w:w="0" w:type="auto"/>
            <w:vAlign w:val="center"/>
          </w:tcPr>
          <w:p>
            <w:pPr>
              <w:pStyle w:val="16"/>
              <w:jc w:val="both"/>
              <w:rPr>
                <w:rFonts w:hint="default" w:eastAsia="宋体"/>
                <w:lang w:val="en-US" w:eastAsia="zh-CN"/>
              </w:rPr>
            </w:pPr>
            <w:r>
              <w:rPr>
                <w:rFonts w:hint="eastAsia" w:eastAsia="宋体"/>
                <w:lang w:val="en-US" w:eastAsia="zh-CN"/>
              </w:rPr>
              <w:t>本项目拟建地不涉及饮用水水源一级保护区、二级保护区域、准保护区的岸线和河段范围。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eastAsia="宋体"/>
                <w:lang w:val="en-US" w:eastAsia="zh-CN"/>
              </w:rPr>
            </w:pPr>
            <w:r>
              <w:rPr>
                <w:rFonts w:hint="eastAsia" w:eastAsia="宋体"/>
                <w:lang w:val="en-US" w:eastAsia="zh-CN"/>
              </w:rPr>
              <w:t>5</w:t>
            </w:r>
          </w:p>
        </w:tc>
        <w:tc>
          <w:tcPr>
            <w:tcW w:w="0" w:type="auto"/>
            <w:vAlign w:val="center"/>
          </w:tcPr>
          <w:p>
            <w:pPr>
              <w:pStyle w:val="16"/>
              <w:jc w:val="left"/>
              <w:rPr>
                <w:rFonts w:hint="eastAsia" w:eastAsia="宋体"/>
                <w:lang w:val="en-US" w:eastAsia="zh-CN"/>
              </w:rPr>
            </w:pPr>
            <w:r>
              <w:rPr>
                <w:rFonts w:hint="eastAsia"/>
                <w:lang w:val="en-US" w:eastAsia="zh-CN"/>
              </w:rPr>
              <w:t>禁</w:t>
            </w:r>
            <w:r>
              <w:rPr>
                <w:rFonts w:hint="eastAsia" w:eastAsia="宋体"/>
                <w:lang w:val="en-US" w:eastAsia="zh-CN"/>
              </w:rPr>
              <w:t>止在水产种质资源保护区的岸线和河段范围内新建围湖造田、围海造地或围填海等投资建设项目。</w:t>
            </w:r>
          </w:p>
          <w:p>
            <w:pPr>
              <w:pStyle w:val="16"/>
              <w:jc w:val="left"/>
              <w:rPr>
                <w:rFonts w:hint="default"/>
                <w:lang w:val="en-US" w:eastAsia="zh-CN"/>
              </w:rPr>
            </w:pPr>
            <w:r>
              <w:rPr>
                <w:rFonts w:hint="eastAsia" w:eastAsia="宋体"/>
                <w:lang w:val="en-US" w:eastAsia="zh-CN"/>
              </w:rPr>
              <w:t>水产种质资源保护区由省农业农村厅会同相关管理机构界定。</w:t>
            </w:r>
          </w:p>
        </w:tc>
        <w:tc>
          <w:tcPr>
            <w:tcW w:w="0" w:type="auto"/>
            <w:vAlign w:val="center"/>
          </w:tcPr>
          <w:p>
            <w:pPr>
              <w:pStyle w:val="16"/>
              <w:jc w:val="both"/>
              <w:rPr>
                <w:rFonts w:hint="default" w:eastAsia="宋体"/>
                <w:lang w:val="en-US" w:eastAsia="zh-CN"/>
              </w:rPr>
            </w:pPr>
            <w:r>
              <w:rPr>
                <w:rFonts w:hint="eastAsia" w:eastAsia="宋体"/>
                <w:lang w:val="en-US" w:eastAsia="zh-CN"/>
              </w:rPr>
              <w:t>本项目拟建地不涉及水产种质资源保护区的岸线和河段。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eastAsia="宋体"/>
                <w:lang w:val="en-US" w:eastAsia="zh-CN"/>
              </w:rPr>
            </w:pPr>
            <w:r>
              <w:rPr>
                <w:rFonts w:hint="eastAsia" w:eastAsia="宋体"/>
                <w:lang w:val="en-US" w:eastAsia="zh-CN"/>
              </w:rPr>
              <w:t>6</w:t>
            </w:r>
          </w:p>
        </w:tc>
        <w:tc>
          <w:tcPr>
            <w:tcW w:w="0" w:type="auto"/>
            <w:vAlign w:val="center"/>
          </w:tcPr>
          <w:p>
            <w:pPr>
              <w:pStyle w:val="16"/>
              <w:jc w:val="both"/>
              <w:rPr>
                <w:rFonts w:hint="eastAsia"/>
                <w:lang w:val="en-US" w:eastAsia="zh-CN"/>
              </w:rPr>
            </w:pPr>
            <w:r>
              <w:rPr>
                <w:rFonts w:hint="eastAsia"/>
                <w:lang w:val="en-US" w:eastAsia="zh-CN"/>
              </w:rPr>
              <w:t>在国家湿地公园的岸线和河段范围内：</w:t>
            </w:r>
          </w:p>
          <w:p>
            <w:pPr>
              <w:pStyle w:val="16"/>
              <w:jc w:val="both"/>
              <w:rPr>
                <w:rFonts w:hint="eastAsia"/>
                <w:lang w:val="en-US" w:eastAsia="zh-CN"/>
              </w:rPr>
            </w:pPr>
            <w:r>
              <w:rPr>
                <w:rFonts w:hint="eastAsia"/>
                <w:lang w:val="en-US" w:eastAsia="zh-CN"/>
              </w:rPr>
              <w:t>（一）禁止挖沙、采矿；</w:t>
            </w:r>
          </w:p>
          <w:p>
            <w:pPr>
              <w:pStyle w:val="16"/>
              <w:jc w:val="both"/>
              <w:rPr>
                <w:rFonts w:hint="default"/>
                <w:lang w:val="en-US" w:eastAsia="zh-CN"/>
              </w:rPr>
            </w:pPr>
            <w:r>
              <w:rPr>
                <w:rFonts w:hint="eastAsia"/>
                <w:lang w:val="en-US" w:eastAsia="zh-CN"/>
              </w:rPr>
              <w:t>（二）禁止任何不符合主体功能定位的投资建设项目；</w:t>
            </w:r>
          </w:p>
          <w:p>
            <w:pPr>
              <w:pStyle w:val="16"/>
              <w:jc w:val="both"/>
              <w:rPr>
                <w:rFonts w:hint="default"/>
                <w:lang w:val="en-US" w:eastAsia="zh-CN"/>
              </w:rPr>
            </w:pPr>
            <w:r>
              <w:rPr>
                <w:rFonts w:hint="eastAsia"/>
                <w:lang w:val="en-US" w:eastAsia="zh-CN"/>
              </w:rPr>
              <w:t>（三）禁止开（围）垦、填埋或者排干湿地；</w:t>
            </w:r>
          </w:p>
          <w:p>
            <w:pPr>
              <w:pStyle w:val="16"/>
              <w:jc w:val="both"/>
              <w:rPr>
                <w:rFonts w:hint="default"/>
                <w:lang w:val="en-US" w:eastAsia="zh-CN"/>
              </w:rPr>
            </w:pPr>
            <w:r>
              <w:rPr>
                <w:rFonts w:hint="eastAsia"/>
                <w:lang w:val="en-US" w:eastAsia="zh-CN"/>
              </w:rPr>
              <w:t>（四）禁止截断湿地水源；</w:t>
            </w:r>
          </w:p>
          <w:p>
            <w:pPr>
              <w:pStyle w:val="16"/>
              <w:jc w:val="both"/>
              <w:rPr>
                <w:rFonts w:hint="eastAsia" w:eastAsia="宋体"/>
                <w:lang w:val="en-US" w:eastAsia="zh-CN"/>
              </w:rPr>
            </w:pPr>
            <w:r>
              <w:rPr>
                <w:rFonts w:hint="eastAsia" w:eastAsia="宋体"/>
                <w:lang w:val="en-US" w:eastAsia="zh-CN"/>
              </w:rPr>
              <w:t>（五）禁止倾倒有毒有害物质、废弃物、垃圾；</w:t>
            </w:r>
          </w:p>
          <w:p>
            <w:pPr>
              <w:pStyle w:val="16"/>
              <w:jc w:val="both"/>
              <w:rPr>
                <w:rFonts w:hint="eastAsia" w:eastAsia="宋体"/>
                <w:lang w:val="en-US" w:eastAsia="zh-CN"/>
              </w:rPr>
            </w:pPr>
            <w:r>
              <w:rPr>
                <w:rFonts w:hint="eastAsia" w:eastAsia="宋体"/>
                <w:lang w:val="en-US" w:eastAsia="zh-CN"/>
              </w:rPr>
              <w:t>（六）禁止破坏野生动物栖息地和迁徙通道、鱼类洄游通道，禁止滥采滥捕野生动植物；</w:t>
            </w:r>
          </w:p>
          <w:p>
            <w:pPr>
              <w:pStyle w:val="16"/>
              <w:jc w:val="both"/>
              <w:rPr>
                <w:rFonts w:hint="eastAsia" w:eastAsia="宋体"/>
                <w:lang w:val="en-US" w:eastAsia="zh-CN"/>
              </w:rPr>
            </w:pPr>
            <w:r>
              <w:rPr>
                <w:rFonts w:hint="eastAsia" w:eastAsia="宋体"/>
                <w:lang w:val="en-US" w:eastAsia="zh-CN"/>
              </w:rPr>
              <w:t>（七）禁止引入外来物种；</w:t>
            </w:r>
          </w:p>
          <w:p>
            <w:pPr>
              <w:pStyle w:val="16"/>
              <w:jc w:val="both"/>
              <w:rPr>
                <w:rFonts w:hint="eastAsia" w:eastAsia="宋体"/>
                <w:lang w:val="en-US" w:eastAsia="zh-CN"/>
              </w:rPr>
            </w:pPr>
            <w:r>
              <w:rPr>
                <w:rFonts w:hint="eastAsia" w:eastAsia="宋体"/>
                <w:lang w:val="en-US" w:eastAsia="zh-CN"/>
              </w:rPr>
              <w:t>（八）禁止擅自放牧、捕捞、取土、取水、排污、放生；</w:t>
            </w:r>
          </w:p>
          <w:p>
            <w:pPr>
              <w:pStyle w:val="16"/>
              <w:jc w:val="both"/>
              <w:rPr>
                <w:rFonts w:hint="eastAsia" w:eastAsia="宋体"/>
                <w:lang w:val="en-US" w:eastAsia="zh-CN"/>
              </w:rPr>
            </w:pPr>
            <w:r>
              <w:rPr>
                <w:rFonts w:hint="eastAsia" w:eastAsia="宋体"/>
                <w:lang w:val="en-US" w:eastAsia="zh-CN"/>
              </w:rPr>
              <w:t>（九）禁止其他破坏湿地及其生态功能的活动。</w:t>
            </w:r>
          </w:p>
          <w:p>
            <w:pPr>
              <w:pStyle w:val="16"/>
              <w:jc w:val="both"/>
              <w:rPr>
                <w:rFonts w:hint="default" w:eastAsia="宋体"/>
                <w:lang w:val="en-US" w:eastAsia="zh-CN"/>
              </w:rPr>
            </w:pPr>
            <w:r>
              <w:rPr>
                <w:rFonts w:hint="eastAsia" w:eastAsia="宋体"/>
                <w:lang w:val="en-US" w:eastAsia="zh-CN"/>
              </w:rPr>
              <w:t>国家湿地公园由省林业局会同相关管理结构界定。</w:t>
            </w:r>
          </w:p>
        </w:tc>
        <w:tc>
          <w:tcPr>
            <w:tcW w:w="0" w:type="auto"/>
            <w:vAlign w:val="center"/>
          </w:tcPr>
          <w:p>
            <w:pPr>
              <w:pStyle w:val="16"/>
              <w:jc w:val="both"/>
              <w:rPr>
                <w:rFonts w:hint="default" w:eastAsia="宋体"/>
                <w:lang w:val="en-US" w:eastAsia="zh-CN"/>
              </w:rPr>
            </w:pPr>
            <w:r>
              <w:rPr>
                <w:rFonts w:hint="eastAsia" w:eastAsia="宋体"/>
                <w:lang w:val="en-US" w:eastAsia="zh-CN"/>
              </w:rPr>
              <w:t>本项目拟建地不涉及国家湿地公园的岸线和河段。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eastAsia="宋体"/>
                <w:lang w:val="en-US" w:eastAsia="zh-CN"/>
              </w:rPr>
            </w:pPr>
            <w:r>
              <w:rPr>
                <w:rFonts w:hint="eastAsia" w:eastAsia="宋体"/>
                <w:lang w:val="en-US" w:eastAsia="zh-CN"/>
              </w:rPr>
              <w:t>7</w:t>
            </w:r>
          </w:p>
        </w:tc>
        <w:tc>
          <w:tcPr>
            <w:tcW w:w="0" w:type="auto"/>
            <w:vAlign w:val="center"/>
          </w:tcPr>
          <w:p>
            <w:pPr>
              <w:pStyle w:val="16"/>
              <w:jc w:val="both"/>
              <w:rPr>
                <w:rFonts w:hint="default" w:eastAsia="宋体"/>
                <w:lang w:val="en-US" w:eastAsia="zh-CN"/>
              </w:rPr>
            </w:pPr>
            <w:r>
              <w:rPr>
                <w:rFonts w:hint="eastAsia" w:eastAsia="宋体"/>
                <w:lang w:val="en-US" w:eastAsia="zh-CN"/>
              </w:rPr>
              <w:t>禁止违法利用、占用长江流域河湖岸线。</w:t>
            </w:r>
          </w:p>
        </w:tc>
        <w:tc>
          <w:tcPr>
            <w:tcW w:w="0" w:type="auto"/>
            <w:vAlign w:val="center"/>
          </w:tcPr>
          <w:p>
            <w:pPr>
              <w:pStyle w:val="16"/>
              <w:jc w:val="both"/>
              <w:rPr>
                <w:rFonts w:hint="default" w:eastAsia="宋体"/>
                <w:lang w:val="en-US" w:eastAsia="zh-CN"/>
              </w:rPr>
            </w:pPr>
            <w:r>
              <w:rPr>
                <w:rFonts w:hint="eastAsia" w:eastAsia="宋体"/>
                <w:lang w:val="en-US" w:eastAsia="zh-CN"/>
              </w:rPr>
              <w:t>本项目拟建地不涉及利用、占用长江流域河湖岸线。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eastAsia="宋体"/>
                <w:lang w:val="en-US" w:eastAsia="zh-CN"/>
              </w:rPr>
            </w:pPr>
            <w:r>
              <w:rPr>
                <w:rFonts w:hint="eastAsia" w:eastAsia="宋体"/>
                <w:lang w:val="en-US" w:eastAsia="zh-CN"/>
              </w:rPr>
              <w:t>8</w:t>
            </w:r>
          </w:p>
        </w:tc>
        <w:tc>
          <w:tcPr>
            <w:tcW w:w="0" w:type="auto"/>
            <w:vAlign w:val="center"/>
          </w:tcPr>
          <w:p>
            <w:pPr>
              <w:pStyle w:val="16"/>
              <w:jc w:val="both"/>
              <w:rPr>
                <w:rFonts w:hint="eastAsia" w:eastAsia="宋体"/>
                <w:lang w:val="en-US" w:eastAsia="zh-CN"/>
              </w:rPr>
            </w:pPr>
            <w:r>
              <w:rPr>
                <w:rFonts w:hint="eastAsia" w:eastAsia="宋体"/>
                <w:lang w:val="en-US" w:eastAsia="zh-CN"/>
              </w:rPr>
              <w:t>禁止在《长江岸线保护和开发利用总体规划》划定的岸线保护区和保留区内投资建设除事关公共安全及公众利益的防洪护岸、河道治理、供水、生态环境保护、国家重要基础设施以外的项目。</w:t>
            </w:r>
          </w:p>
        </w:tc>
        <w:tc>
          <w:tcPr>
            <w:tcW w:w="0" w:type="auto"/>
            <w:vAlign w:val="center"/>
          </w:tcPr>
          <w:p>
            <w:pPr>
              <w:pStyle w:val="16"/>
              <w:jc w:val="both"/>
              <w:rPr>
                <w:rFonts w:hint="default" w:eastAsia="宋体"/>
                <w:lang w:val="en-US" w:eastAsia="zh-CN"/>
              </w:rPr>
            </w:pPr>
            <w:r>
              <w:rPr>
                <w:rFonts w:hint="eastAsia" w:eastAsia="宋体"/>
                <w:lang w:val="en-US" w:eastAsia="zh-CN"/>
              </w:rPr>
              <w:t>本项目拟建地不涉及《长江岸线保护和开发利用总体规划》划定的岸线保护区和保留区。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eastAsia="宋体"/>
                <w:lang w:val="en-US" w:eastAsia="zh-CN"/>
              </w:rPr>
            </w:pPr>
            <w:r>
              <w:rPr>
                <w:rFonts w:hint="eastAsia" w:eastAsia="宋体"/>
                <w:lang w:val="en-US" w:eastAsia="zh-CN"/>
              </w:rPr>
              <w:t>9</w:t>
            </w:r>
          </w:p>
        </w:tc>
        <w:tc>
          <w:tcPr>
            <w:tcW w:w="0" w:type="auto"/>
            <w:vAlign w:val="center"/>
          </w:tcPr>
          <w:p>
            <w:pPr>
              <w:pStyle w:val="16"/>
              <w:jc w:val="both"/>
              <w:rPr>
                <w:rFonts w:hint="eastAsia" w:eastAsia="宋体"/>
                <w:lang w:val="en-US" w:eastAsia="zh-CN"/>
              </w:rPr>
            </w:pPr>
            <w:r>
              <w:rPr>
                <w:rFonts w:hint="eastAsia" w:eastAsia="宋体"/>
                <w:lang w:val="en-US" w:eastAsia="zh-CN"/>
              </w:rPr>
              <w:t>禁止在《全国重要江河湖泊水功能区划》划定的河段及湖泊保护区、保留区内投资建设不利于水资源及自然生态保护的项目。</w:t>
            </w:r>
          </w:p>
        </w:tc>
        <w:tc>
          <w:tcPr>
            <w:tcW w:w="0" w:type="auto"/>
            <w:vAlign w:val="center"/>
          </w:tcPr>
          <w:p>
            <w:pPr>
              <w:pStyle w:val="16"/>
              <w:jc w:val="both"/>
              <w:rPr>
                <w:rFonts w:hint="default" w:eastAsia="宋体"/>
                <w:lang w:val="en-US" w:eastAsia="zh-CN"/>
              </w:rPr>
            </w:pPr>
            <w:r>
              <w:rPr>
                <w:rFonts w:hint="eastAsia" w:eastAsia="宋体"/>
                <w:lang w:val="en-US" w:eastAsia="zh-CN"/>
              </w:rPr>
              <w:t>本项目拟建地不涉及《全国重要江河湖泊水功能区划》划定的河段及湖泊保护区、保留区。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pStyle w:val="16"/>
              <w:jc w:val="center"/>
              <w:rPr>
                <w:rFonts w:hint="default" w:eastAsia="宋体"/>
                <w:lang w:val="en-US" w:eastAsia="zh-CN"/>
              </w:rPr>
            </w:pPr>
            <w:r>
              <w:rPr>
                <w:rFonts w:hint="eastAsia" w:eastAsia="宋体"/>
                <w:lang w:val="en-US" w:eastAsia="zh-CN"/>
              </w:rPr>
              <w:t>10</w:t>
            </w:r>
          </w:p>
        </w:tc>
        <w:tc>
          <w:tcPr>
            <w:tcW w:w="0" w:type="auto"/>
            <w:vAlign w:val="center"/>
          </w:tcPr>
          <w:p>
            <w:pPr>
              <w:pStyle w:val="16"/>
              <w:jc w:val="both"/>
              <w:rPr>
                <w:rFonts w:hint="eastAsia" w:eastAsia="宋体"/>
                <w:lang w:val="en-US" w:eastAsia="zh-CN"/>
              </w:rPr>
            </w:pPr>
            <w:r>
              <w:rPr>
                <w:rFonts w:hint="eastAsia" w:eastAsia="宋体"/>
                <w:lang w:val="en-US" w:eastAsia="zh-CN"/>
              </w:rPr>
              <w:t>禁止未经许可在长江支流及湖泊新设、改设或扩大排污口。</w:t>
            </w:r>
          </w:p>
        </w:tc>
        <w:tc>
          <w:tcPr>
            <w:tcW w:w="0" w:type="auto"/>
            <w:vAlign w:val="center"/>
          </w:tcPr>
          <w:p>
            <w:pPr>
              <w:pStyle w:val="16"/>
              <w:jc w:val="both"/>
              <w:rPr>
                <w:rFonts w:hint="default" w:eastAsia="宋体"/>
                <w:lang w:val="en-US" w:eastAsia="zh-CN"/>
              </w:rPr>
            </w:pPr>
            <w:r>
              <w:rPr>
                <w:rFonts w:hint="eastAsia" w:eastAsia="宋体"/>
                <w:lang w:val="en-US" w:eastAsia="zh-CN"/>
              </w:rPr>
              <w:t>本项目废水纳管排放，不涉及长江支流和湖泊新设、改设或扩大排污口。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eastAsia="宋体"/>
                <w:lang w:val="en-US" w:eastAsia="zh-CN"/>
              </w:rPr>
            </w:pPr>
            <w:r>
              <w:rPr>
                <w:rFonts w:hint="eastAsia" w:eastAsia="宋体"/>
                <w:lang w:val="en-US" w:eastAsia="zh-CN"/>
              </w:rPr>
              <w:t>11</w:t>
            </w:r>
          </w:p>
        </w:tc>
        <w:tc>
          <w:tcPr>
            <w:tcW w:w="0" w:type="auto"/>
            <w:vAlign w:val="center"/>
          </w:tcPr>
          <w:p>
            <w:pPr>
              <w:pStyle w:val="16"/>
              <w:jc w:val="both"/>
              <w:rPr>
                <w:rFonts w:hint="eastAsia" w:eastAsia="宋体"/>
                <w:lang w:val="en-US" w:eastAsia="zh-CN"/>
              </w:rPr>
            </w:pPr>
            <w:r>
              <w:rPr>
                <w:rFonts w:hint="eastAsia" w:eastAsia="宋体"/>
                <w:lang w:val="en-US" w:eastAsia="zh-CN"/>
              </w:rPr>
              <w:t>禁止在长江支流、太湖等重要岸线一公里范围内新建、扩建化工园区和化工项目。</w:t>
            </w:r>
          </w:p>
        </w:tc>
        <w:tc>
          <w:tcPr>
            <w:tcW w:w="0" w:type="auto"/>
            <w:vAlign w:val="center"/>
          </w:tcPr>
          <w:p>
            <w:pPr>
              <w:pStyle w:val="16"/>
              <w:jc w:val="both"/>
              <w:rPr>
                <w:rFonts w:hint="default" w:eastAsia="宋体"/>
                <w:lang w:val="en-US" w:eastAsia="zh-CN"/>
              </w:rPr>
            </w:pPr>
            <w:r>
              <w:rPr>
                <w:rFonts w:hint="eastAsia" w:eastAsia="宋体"/>
                <w:lang w:val="en-US" w:eastAsia="zh-CN"/>
              </w:rPr>
              <w:t>本项目不属于化工园区和化工项目。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eastAsia="宋体"/>
                <w:lang w:val="en-US" w:eastAsia="zh-CN"/>
              </w:rPr>
            </w:pPr>
            <w:r>
              <w:rPr>
                <w:rFonts w:hint="eastAsia" w:eastAsia="宋体"/>
                <w:lang w:val="en-US" w:eastAsia="zh-CN"/>
              </w:rPr>
              <w:t>12</w:t>
            </w:r>
          </w:p>
        </w:tc>
        <w:tc>
          <w:tcPr>
            <w:tcW w:w="0" w:type="auto"/>
            <w:vAlign w:val="center"/>
          </w:tcPr>
          <w:p>
            <w:pPr>
              <w:pStyle w:val="16"/>
              <w:jc w:val="both"/>
              <w:rPr>
                <w:rFonts w:hint="eastAsia" w:eastAsia="宋体"/>
                <w:lang w:val="en-US" w:eastAsia="zh-CN"/>
              </w:rPr>
            </w:pPr>
            <w:r>
              <w:rPr>
                <w:rFonts w:hint="eastAsia" w:eastAsia="宋体"/>
                <w:lang w:val="en-US" w:eastAsia="zh-CN"/>
              </w:rPr>
              <w:t>禁止在长江重要支流岸线一公里范围内新建、改建、扩建尾矿库、冶炼渣库和磷石膏库，以提升安全、生态环境保护水平为目的的改扩建除外。</w:t>
            </w:r>
          </w:p>
        </w:tc>
        <w:tc>
          <w:tcPr>
            <w:tcW w:w="0" w:type="auto"/>
            <w:vAlign w:val="center"/>
          </w:tcPr>
          <w:p>
            <w:pPr>
              <w:pStyle w:val="16"/>
              <w:jc w:val="both"/>
              <w:rPr>
                <w:rFonts w:hint="default" w:eastAsia="宋体"/>
                <w:lang w:val="en-US" w:eastAsia="zh-CN"/>
              </w:rPr>
            </w:pPr>
            <w:r>
              <w:rPr>
                <w:rFonts w:hint="eastAsia" w:eastAsia="宋体"/>
                <w:lang w:val="en-US" w:eastAsia="zh-CN"/>
              </w:rPr>
              <w:t>本项目不涉及尾矿库、冶炼渣库和磷石膏库，不涉及河湖岸线。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eastAsia="宋体"/>
                <w:lang w:val="en-US" w:eastAsia="zh-CN"/>
              </w:rPr>
            </w:pPr>
            <w:r>
              <w:rPr>
                <w:rFonts w:hint="eastAsia" w:eastAsia="宋体"/>
                <w:lang w:val="en-US" w:eastAsia="zh-CN"/>
              </w:rPr>
              <w:t>13</w:t>
            </w:r>
          </w:p>
        </w:tc>
        <w:tc>
          <w:tcPr>
            <w:tcW w:w="0" w:type="auto"/>
            <w:vAlign w:val="center"/>
          </w:tcPr>
          <w:p>
            <w:pPr>
              <w:pStyle w:val="16"/>
              <w:jc w:val="both"/>
              <w:rPr>
                <w:rFonts w:hint="eastAsia" w:eastAsia="宋体"/>
                <w:lang w:val="en-US" w:eastAsia="zh-CN"/>
              </w:rPr>
            </w:pPr>
            <w:r>
              <w:rPr>
                <w:rFonts w:hint="eastAsia" w:eastAsia="宋体"/>
                <w:lang w:val="en-US" w:eastAsia="zh-CN"/>
              </w:rPr>
              <w:t>禁止在合规园区外新建、扩建钢铁、石化、化工、焦化、建材、有色、制浆造纸等高污染项目。高污染项目清单参照生态环境部《环境保护综合目录》中的高污染产品目录执行。</w:t>
            </w:r>
          </w:p>
        </w:tc>
        <w:tc>
          <w:tcPr>
            <w:tcW w:w="0" w:type="auto"/>
            <w:vAlign w:val="center"/>
          </w:tcPr>
          <w:p>
            <w:pPr>
              <w:pStyle w:val="16"/>
              <w:jc w:val="both"/>
              <w:rPr>
                <w:rFonts w:hint="default" w:eastAsia="宋体"/>
                <w:lang w:val="en-US" w:eastAsia="zh-CN"/>
              </w:rPr>
            </w:pPr>
            <w:r>
              <w:rPr>
                <w:rFonts w:hint="eastAsia" w:eastAsia="宋体"/>
                <w:lang w:val="en-US" w:eastAsia="zh-CN"/>
              </w:rPr>
              <w:t>本项目不属于钢铁、石化、化工、焦化、建材、有色、制浆造纸等高污染项目。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eastAsia="宋体"/>
                <w:lang w:val="en-US" w:eastAsia="zh-CN"/>
              </w:rPr>
            </w:pPr>
            <w:r>
              <w:rPr>
                <w:rFonts w:hint="eastAsia" w:eastAsia="宋体"/>
                <w:lang w:val="en-US" w:eastAsia="zh-CN"/>
              </w:rPr>
              <w:t>14</w:t>
            </w:r>
          </w:p>
        </w:tc>
        <w:tc>
          <w:tcPr>
            <w:tcW w:w="0" w:type="auto"/>
            <w:vAlign w:val="center"/>
          </w:tcPr>
          <w:p>
            <w:pPr>
              <w:pStyle w:val="16"/>
              <w:jc w:val="both"/>
              <w:rPr>
                <w:rFonts w:hint="eastAsia" w:eastAsia="宋体"/>
                <w:lang w:val="en-US" w:eastAsia="zh-CN"/>
              </w:rPr>
            </w:pPr>
            <w:r>
              <w:rPr>
                <w:rFonts w:hint="eastAsia" w:eastAsia="宋体"/>
                <w:lang w:val="en-US" w:eastAsia="zh-CN"/>
              </w:rPr>
              <w:t>禁止新建、扩建不符合国家石化、现代煤化工等产业布局规划的项目。</w:t>
            </w:r>
          </w:p>
        </w:tc>
        <w:tc>
          <w:tcPr>
            <w:tcW w:w="0" w:type="auto"/>
            <w:vAlign w:val="center"/>
          </w:tcPr>
          <w:p>
            <w:pPr>
              <w:pStyle w:val="16"/>
              <w:jc w:val="both"/>
              <w:rPr>
                <w:rFonts w:hint="default" w:eastAsia="宋体"/>
                <w:lang w:val="en-US" w:eastAsia="zh-CN"/>
              </w:rPr>
            </w:pPr>
            <w:r>
              <w:rPr>
                <w:rFonts w:hint="eastAsia" w:eastAsia="宋体"/>
                <w:lang w:val="en-US" w:eastAsia="zh-CN"/>
              </w:rPr>
              <w:t>本项目不属于石化、煤化工项目。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both"/>
              <w:rPr>
                <w:rFonts w:hint="default" w:eastAsia="宋体"/>
                <w:lang w:val="en-US" w:eastAsia="zh-CN"/>
              </w:rPr>
            </w:pPr>
            <w:r>
              <w:rPr>
                <w:rFonts w:hint="eastAsia" w:eastAsia="宋体"/>
                <w:lang w:val="en-US" w:eastAsia="zh-CN"/>
              </w:rPr>
              <w:t>15</w:t>
            </w:r>
          </w:p>
        </w:tc>
        <w:tc>
          <w:tcPr>
            <w:tcW w:w="0" w:type="auto"/>
            <w:vAlign w:val="center"/>
          </w:tcPr>
          <w:p>
            <w:pPr>
              <w:pStyle w:val="16"/>
              <w:jc w:val="both"/>
              <w:rPr>
                <w:rFonts w:hint="eastAsia" w:eastAsia="宋体"/>
                <w:lang w:val="en-US" w:eastAsia="zh-CN"/>
              </w:rPr>
            </w:pPr>
            <w:r>
              <w:rPr>
                <w:rFonts w:hint="eastAsia" w:eastAsia="宋体"/>
                <w:lang w:val="en-US" w:eastAsia="zh-CN"/>
              </w:rPr>
              <w:t>禁止新建、扩建法律法规和相关政策明令禁止的落后产能项目，对列入《产业结构调整指导目录》淘汰类中的落后生产工艺装备、落后产品投资项目，列入《外商投资准入特别管理措施（负面清单）》的外商投资项目，一律不得核准、备案。</w:t>
            </w:r>
          </w:p>
          <w:p>
            <w:pPr>
              <w:pStyle w:val="16"/>
              <w:jc w:val="both"/>
              <w:rPr>
                <w:rFonts w:hint="eastAsia" w:eastAsia="宋体"/>
                <w:lang w:val="en-US" w:eastAsia="zh-CN"/>
              </w:rPr>
            </w:pPr>
            <w:r>
              <w:rPr>
                <w:rFonts w:hint="eastAsia" w:eastAsia="宋体"/>
                <w:lang w:val="en-US" w:eastAsia="zh-CN"/>
              </w:rPr>
              <w:t>禁止向落后产能项目和严重过剩产能行业项目供应土地。</w:t>
            </w:r>
          </w:p>
        </w:tc>
        <w:tc>
          <w:tcPr>
            <w:tcW w:w="0" w:type="auto"/>
            <w:vAlign w:val="center"/>
          </w:tcPr>
          <w:p>
            <w:pPr>
              <w:pStyle w:val="16"/>
              <w:jc w:val="both"/>
              <w:rPr>
                <w:rFonts w:hint="default" w:eastAsia="宋体"/>
                <w:lang w:val="en-US" w:eastAsia="zh-CN"/>
              </w:rPr>
            </w:pPr>
            <w:r>
              <w:rPr>
                <w:rFonts w:hint="eastAsia" w:eastAsia="宋体"/>
                <w:lang w:val="en-US" w:eastAsia="zh-CN"/>
              </w:rPr>
              <w:t>本项目为塑料制品制造项目，不属于明令禁止的落后产能项目，不属于严重过剩产能行业，也不属于高耗能高排放项目。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eastAsia="宋体"/>
                <w:lang w:val="en-US" w:eastAsia="zh-CN"/>
              </w:rPr>
            </w:pPr>
            <w:r>
              <w:rPr>
                <w:rFonts w:hint="eastAsia" w:eastAsia="宋体"/>
                <w:lang w:val="en-US" w:eastAsia="zh-CN"/>
              </w:rPr>
              <w:t>16</w:t>
            </w:r>
          </w:p>
        </w:tc>
        <w:tc>
          <w:tcPr>
            <w:tcW w:w="0" w:type="auto"/>
            <w:vAlign w:val="center"/>
          </w:tcPr>
          <w:p>
            <w:pPr>
              <w:pStyle w:val="16"/>
              <w:jc w:val="both"/>
              <w:rPr>
                <w:rFonts w:hint="eastAsia" w:eastAsia="宋体"/>
                <w:lang w:val="en-US" w:eastAsia="zh-CN"/>
              </w:rPr>
            </w:pPr>
            <w:r>
              <w:rPr>
                <w:rFonts w:hint="eastAsia" w:eastAsia="宋体"/>
                <w:lang w:val="en-US" w:eastAsia="zh-CN"/>
              </w:rPr>
              <w:t>禁止新建、扩建不符合国家产能置换要求的严重过剩产业行业的项目。部门、机构禁止办理相关的土地（海域）供应、能评、环评审批和新增授信支持等业务。</w:t>
            </w:r>
          </w:p>
        </w:tc>
        <w:tc>
          <w:tcPr>
            <w:tcW w:w="0" w:type="auto"/>
            <w:vAlign w:val="center"/>
          </w:tcPr>
          <w:p>
            <w:pPr>
              <w:pStyle w:val="16"/>
              <w:jc w:val="both"/>
              <w:rPr>
                <w:rFonts w:hint="default" w:eastAsia="宋体"/>
                <w:lang w:val="en-US" w:eastAsia="zh-CN"/>
              </w:rPr>
            </w:pPr>
            <w:r>
              <w:rPr>
                <w:rFonts w:hint="eastAsia" w:eastAsia="宋体"/>
                <w:lang w:val="en-US" w:eastAsia="zh-CN"/>
              </w:rPr>
              <w:t>本项目不属于严重过剩产能行业的项目。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eastAsia="宋体"/>
                <w:lang w:val="en-US" w:eastAsia="zh-CN"/>
              </w:rPr>
            </w:pPr>
            <w:r>
              <w:rPr>
                <w:rFonts w:hint="eastAsia" w:eastAsia="宋体"/>
                <w:lang w:val="en-US" w:eastAsia="zh-CN"/>
              </w:rPr>
              <w:t>17</w:t>
            </w:r>
          </w:p>
        </w:tc>
        <w:tc>
          <w:tcPr>
            <w:tcW w:w="0" w:type="auto"/>
            <w:vAlign w:val="center"/>
          </w:tcPr>
          <w:p>
            <w:pPr>
              <w:pStyle w:val="16"/>
              <w:jc w:val="both"/>
              <w:rPr>
                <w:rFonts w:hint="eastAsia" w:eastAsia="宋体"/>
                <w:lang w:val="en-US" w:eastAsia="zh-CN"/>
              </w:rPr>
            </w:pPr>
            <w:r>
              <w:rPr>
                <w:rFonts w:hint="eastAsia" w:eastAsia="宋体"/>
                <w:lang w:val="en-US" w:eastAsia="zh-CN"/>
              </w:rPr>
              <w:t>禁止新建、扩建不符合要求的高耗能高排放项目。</w:t>
            </w:r>
          </w:p>
        </w:tc>
        <w:tc>
          <w:tcPr>
            <w:tcW w:w="0" w:type="auto"/>
            <w:vAlign w:val="center"/>
          </w:tcPr>
          <w:p>
            <w:pPr>
              <w:pStyle w:val="16"/>
              <w:jc w:val="both"/>
              <w:rPr>
                <w:rFonts w:hint="default" w:eastAsia="宋体"/>
                <w:lang w:val="en-US" w:eastAsia="zh-CN"/>
              </w:rPr>
            </w:pPr>
            <w:r>
              <w:rPr>
                <w:rFonts w:hint="eastAsia" w:eastAsia="宋体"/>
                <w:lang w:val="en-US" w:eastAsia="zh-CN"/>
              </w:rPr>
              <w:t>本项目不属于高耗能高排放项目。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eastAsia="宋体"/>
                <w:lang w:val="en-US" w:eastAsia="zh-CN"/>
              </w:rPr>
            </w:pPr>
            <w:r>
              <w:rPr>
                <w:rFonts w:hint="eastAsia" w:eastAsia="宋体"/>
                <w:lang w:val="en-US" w:eastAsia="zh-CN"/>
              </w:rPr>
              <w:t>18</w:t>
            </w:r>
          </w:p>
        </w:tc>
        <w:tc>
          <w:tcPr>
            <w:tcW w:w="0" w:type="auto"/>
            <w:vAlign w:val="center"/>
          </w:tcPr>
          <w:p>
            <w:pPr>
              <w:pStyle w:val="16"/>
              <w:jc w:val="both"/>
              <w:rPr>
                <w:rFonts w:hint="eastAsia" w:eastAsia="宋体"/>
                <w:lang w:val="en-US" w:eastAsia="zh-CN"/>
              </w:rPr>
            </w:pPr>
            <w:r>
              <w:rPr>
                <w:rFonts w:hint="eastAsia" w:eastAsia="宋体"/>
                <w:lang w:val="en-US" w:eastAsia="zh-CN"/>
              </w:rPr>
              <w:t>禁止在水库和河湖等水利工程管理范围内堆放物料，倾倒土、石、矿渣、垃圾等物质。</w:t>
            </w:r>
          </w:p>
        </w:tc>
        <w:tc>
          <w:tcPr>
            <w:tcW w:w="0" w:type="auto"/>
            <w:vAlign w:val="center"/>
          </w:tcPr>
          <w:p>
            <w:pPr>
              <w:pStyle w:val="16"/>
              <w:jc w:val="both"/>
              <w:rPr>
                <w:rFonts w:hint="default" w:eastAsia="宋体"/>
                <w:lang w:val="en-US" w:eastAsia="zh-CN"/>
              </w:rPr>
            </w:pPr>
            <w:r>
              <w:rPr>
                <w:rFonts w:hint="eastAsia" w:eastAsia="宋体"/>
                <w:lang w:val="en-US" w:eastAsia="zh-CN"/>
              </w:rPr>
              <w:t>本项目不涉及水库和河岸等水利工程管理范围内堆放物料，倾倒土、石、矿渣、垃圾等物质。</w:t>
            </w:r>
          </w:p>
        </w:tc>
      </w:tr>
    </w:tbl>
    <w:p>
      <w:pPr>
        <w:numPr>
          <w:ilvl w:val="-1"/>
          <w:numId w:val="0"/>
        </w:numPr>
        <w:autoSpaceDE w:val="0"/>
        <w:autoSpaceDN w:val="0"/>
        <w:adjustRightInd w:val="0"/>
        <w:spacing w:line="480" w:lineRule="exact"/>
        <w:ind w:firstLine="420" w:firstLineChars="200"/>
        <w:rPr>
          <w:rFonts w:hint="default" w:cs="Times New Roman"/>
          <w:lang w:val="en-US" w:eastAsia="zh-CN"/>
        </w:rPr>
      </w:pPr>
      <w:r>
        <w:rPr>
          <w:rFonts w:hint="eastAsia" w:cs="Times New Roman"/>
          <w:lang w:val="en-US" w:eastAsia="zh-CN"/>
        </w:rPr>
        <w:t>综上，本项目不在长江经济带发展负面清单内，符合《&lt;长江经济带发展负面清单指南（试行，2022年版）&gt;浙江省实施细则》要求。</w:t>
      </w:r>
    </w:p>
    <w:p>
      <w:pPr>
        <w:autoSpaceDE w:val="0"/>
        <w:autoSpaceDN w:val="0"/>
        <w:adjustRightInd w:val="0"/>
        <w:spacing w:line="480" w:lineRule="exact"/>
        <w:ind w:left="0" w:firstLine="420" w:firstLineChars="200"/>
        <w:rPr>
          <w:rFonts w:hint="eastAsia" w:cs="Times New Roman"/>
          <w:b/>
          <w:bCs/>
          <w:lang w:val="en-US" w:eastAsia="zh-CN"/>
        </w:rPr>
      </w:pPr>
      <w:r>
        <w:rPr>
          <w:rFonts w:hint="eastAsia"/>
        </w:rPr>
        <w:t>（</w:t>
      </w:r>
      <w:r>
        <w:rPr>
          <w:rFonts w:hint="eastAsia"/>
          <w:lang w:val="en-US" w:eastAsia="zh-CN"/>
        </w:rPr>
        <w:t>11</w:t>
      </w:r>
      <w:r>
        <w:rPr>
          <w:rFonts w:hint="eastAsia"/>
        </w:rPr>
        <w:t>）</w:t>
      </w:r>
      <w:r>
        <w:rPr>
          <w:rFonts w:hint="eastAsia" w:cs="Times New Roman"/>
          <w:b/>
          <w:bCs/>
          <w:lang w:val="en-US" w:eastAsia="zh-CN"/>
        </w:rPr>
        <w:t>、建设项目与相关挥发性污染整治符合性分析</w:t>
      </w:r>
    </w:p>
    <w:p>
      <w:pPr>
        <w:numPr>
          <w:ilvl w:val="-1"/>
          <w:numId w:val="0"/>
        </w:numPr>
        <w:autoSpaceDE w:val="0"/>
        <w:autoSpaceDN w:val="0"/>
        <w:adjustRightInd w:val="0"/>
        <w:spacing w:line="480" w:lineRule="exact"/>
        <w:ind w:firstLine="420" w:firstLineChars="200"/>
        <w:rPr>
          <w:rFonts w:hint="eastAsia" w:cs="Times New Roman"/>
          <w:lang w:val="en-US" w:eastAsia="zh-CN"/>
        </w:rPr>
      </w:pPr>
      <w:r>
        <w:rPr>
          <w:rFonts w:hint="eastAsia" w:cs="Times New Roman"/>
          <w:lang w:val="en-US" w:eastAsia="zh-CN"/>
        </w:rPr>
        <w:t>1、与《浙江省“十四五”挥发性有机物综合治理方案》符合性分析</w:t>
      </w:r>
    </w:p>
    <w:p>
      <w:pPr>
        <w:numPr>
          <w:ilvl w:val="-1"/>
          <w:numId w:val="0"/>
        </w:numPr>
        <w:autoSpaceDE w:val="0"/>
        <w:autoSpaceDN w:val="0"/>
        <w:adjustRightInd w:val="0"/>
        <w:spacing w:line="480" w:lineRule="exact"/>
        <w:ind w:firstLine="420" w:firstLineChars="200"/>
        <w:rPr>
          <w:rFonts w:hint="eastAsia" w:ascii="Times New Roman" w:hAnsi="Times New Roman" w:cs="Times New Roman"/>
          <w:lang w:val="en-US" w:eastAsia="zh-CN"/>
        </w:rPr>
      </w:pPr>
      <w:r>
        <w:rPr>
          <w:rFonts w:hint="default" w:ascii="Times New Roman" w:hAnsi="Times New Roman" w:cs="Times New Roman"/>
          <w:lang w:val="en-US" w:eastAsia="zh-CN"/>
        </w:rPr>
        <w:t>对照《浙江省</w:t>
      </w:r>
      <w:r>
        <w:rPr>
          <w:rFonts w:hint="eastAsia" w:cs="Times New Roman"/>
          <w:lang w:val="en-US" w:eastAsia="zh-CN"/>
        </w:rPr>
        <w:t>“</w:t>
      </w:r>
      <w:r>
        <w:rPr>
          <w:rFonts w:hint="default" w:ascii="Times New Roman" w:hAnsi="Times New Roman" w:cs="Times New Roman"/>
          <w:lang w:val="en-US" w:eastAsia="zh-CN"/>
        </w:rPr>
        <w:t>十四五</w:t>
      </w:r>
      <w:r>
        <w:rPr>
          <w:rFonts w:hint="eastAsia" w:cs="Times New Roman"/>
          <w:lang w:val="en-US" w:eastAsia="zh-CN"/>
        </w:rPr>
        <w:t>”</w:t>
      </w:r>
      <w:r>
        <w:rPr>
          <w:rFonts w:hint="default" w:ascii="Times New Roman" w:hAnsi="Times New Roman" w:cs="Times New Roman"/>
          <w:lang w:val="en-US" w:eastAsia="zh-CN"/>
        </w:rPr>
        <w:t>挥发性有机物综合治理方案》（浙环发</w:t>
      </w:r>
      <w:r>
        <w:rPr>
          <w:rFonts w:hint="default" w:ascii="Times New Roman" w:hAnsi="Times New Roman" w:eastAsia="宋体" w:cs="Times New Roman"/>
          <w:sz w:val="24"/>
          <w:szCs w:val="24"/>
        </w:rPr>
        <w:t>〔2021〕</w:t>
      </w:r>
      <w:r>
        <w:rPr>
          <w:rFonts w:hint="default" w:ascii="Times New Roman" w:hAnsi="Times New Roman" w:eastAsia="宋体" w:cs="Times New Roman"/>
          <w:sz w:val="24"/>
          <w:szCs w:val="24"/>
          <w:lang w:val="en-US" w:eastAsia="zh-CN"/>
        </w:rPr>
        <w:t>10号</w:t>
      </w:r>
      <w:r>
        <w:rPr>
          <w:rFonts w:hint="default" w:ascii="Times New Roman" w:hAnsi="Times New Roman" w:cs="Times New Roman"/>
          <w:lang w:val="en-US" w:eastAsia="zh-CN"/>
        </w:rPr>
        <w:t>），</w:t>
      </w:r>
      <w:r>
        <w:rPr>
          <w:rFonts w:hint="eastAsia" w:ascii="Times New Roman" w:hAnsi="Times New Roman" w:cs="Times New Roman"/>
          <w:lang w:val="en-US" w:eastAsia="zh-CN"/>
        </w:rPr>
        <w:t>本项目与其符合性分析具体见表1-</w:t>
      </w:r>
      <w:r>
        <w:rPr>
          <w:rFonts w:hint="eastAsia" w:cs="Times New Roman"/>
          <w:lang w:val="en-US" w:eastAsia="zh-CN"/>
        </w:rPr>
        <w:t>7</w:t>
      </w:r>
      <w:r>
        <w:rPr>
          <w:rFonts w:hint="eastAsia" w:ascii="Times New Roman" w:hAnsi="Times New Roman" w:cs="Times New Roman"/>
          <w:lang w:val="en-US" w:eastAsia="zh-CN"/>
        </w:rPr>
        <w:t>。</w:t>
      </w:r>
    </w:p>
    <w:p>
      <w:pPr>
        <w:numPr>
          <w:ilvl w:val="-1"/>
          <w:numId w:val="0"/>
        </w:numPr>
        <w:autoSpaceDE w:val="0"/>
        <w:autoSpaceDN w:val="0"/>
        <w:adjustRightInd w:val="0"/>
        <w:spacing w:line="480" w:lineRule="exact"/>
        <w:jc w:val="center"/>
        <w:rPr>
          <w:rFonts w:hint="eastAsia" w:ascii="Times New Roman" w:hAnsi="Times New Roman" w:cs="Times New Roman"/>
          <w:lang w:val="en-US" w:eastAsia="zh-CN"/>
        </w:rPr>
      </w:pPr>
      <w:r>
        <w:rPr>
          <w:rFonts w:hint="eastAsia" w:ascii="Times New Roman" w:hAnsi="Times New Roman" w:eastAsia="宋体" w:cs="Times New Roman"/>
          <w:b/>
          <w:snapToGrid/>
          <w:kern w:val="21"/>
          <w:sz w:val="21"/>
          <w:szCs w:val="21"/>
          <w:lang w:val="en-US" w:eastAsia="zh-CN" w:bidi="ar-SA"/>
        </w:rPr>
        <w:t>表1-</w:t>
      </w:r>
      <w:r>
        <w:rPr>
          <w:rFonts w:hint="eastAsia" w:cs="Times New Roman"/>
          <w:b/>
          <w:snapToGrid/>
          <w:kern w:val="21"/>
          <w:sz w:val="21"/>
          <w:szCs w:val="21"/>
          <w:lang w:val="en-US" w:eastAsia="zh-CN" w:bidi="ar-SA"/>
        </w:rPr>
        <w:t>7</w:t>
      </w:r>
      <w:r>
        <w:rPr>
          <w:rFonts w:hint="eastAsia" w:ascii="Times New Roman" w:hAnsi="Times New Roman" w:eastAsia="宋体" w:cs="Times New Roman"/>
          <w:b/>
          <w:snapToGrid/>
          <w:kern w:val="21"/>
          <w:sz w:val="21"/>
          <w:szCs w:val="21"/>
          <w:lang w:val="en-US" w:eastAsia="zh-CN" w:bidi="ar-SA"/>
        </w:rPr>
        <w:t xml:space="preserve">  与《浙江省“十四五”挥发性有机物综合治理方案》符合性分析</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4605"/>
        <w:gridCol w:w="2429"/>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lang w:val="en-US" w:eastAsia="zh-CN"/>
              </w:rPr>
            </w:pPr>
            <w:r>
              <w:rPr>
                <w:rFonts w:hint="eastAsia"/>
                <w:lang w:val="en-US" w:eastAsia="zh-CN"/>
              </w:rPr>
              <w:t>序号</w:t>
            </w:r>
          </w:p>
        </w:tc>
        <w:tc>
          <w:tcPr>
            <w:tcW w:w="4605" w:type="dxa"/>
            <w:vAlign w:val="center"/>
          </w:tcPr>
          <w:p>
            <w:pPr>
              <w:pStyle w:val="16"/>
              <w:jc w:val="center"/>
              <w:rPr>
                <w:rFonts w:hint="default"/>
                <w:lang w:val="en-US" w:eastAsia="zh-CN"/>
              </w:rPr>
            </w:pPr>
            <w:r>
              <w:rPr>
                <w:rFonts w:hint="eastAsia"/>
                <w:lang w:val="en-US" w:eastAsia="zh-CN"/>
              </w:rPr>
              <w:t>文件要求</w:t>
            </w:r>
          </w:p>
        </w:tc>
        <w:tc>
          <w:tcPr>
            <w:tcW w:w="2429" w:type="dxa"/>
            <w:vAlign w:val="center"/>
          </w:tcPr>
          <w:p>
            <w:pPr>
              <w:pStyle w:val="16"/>
              <w:jc w:val="center"/>
              <w:rPr>
                <w:rFonts w:hint="default"/>
                <w:lang w:val="en-US" w:eastAsia="zh-CN"/>
              </w:rPr>
            </w:pPr>
            <w:r>
              <w:rPr>
                <w:rFonts w:hint="eastAsia"/>
                <w:lang w:val="en-US" w:eastAsia="zh-CN"/>
              </w:rPr>
              <w:t>本项目情况</w:t>
            </w:r>
          </w:p>
        </w:tc>
        <w:tc>
          <w:tcPr>
            <w:tcW w:w="0" w:type="auto"/>
            <w:vAlign w:val="center"/>
          </w:tcPr>
          <w:p>
            <w:pPr>
              <w:pStyle w:val="16"/>
              <w:jc w:val="center"/>
              <w:rPr>
                <w:rFonts w:hint="default"/>
                <w:lang w:val="en-US" w:eastAsia="zh-CN"/>
              </w:rPr>
            </w:pPr>
            <w:r>
              <w:rPr>
                <w:rFonts w:hint="eastAsia"/>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lang w:val="en-US" w:eastAsia="zh-CN"/>
              </w:rPr>
            </w:pPr>
            <w:r>
              <w:rPr>
                <w:rFonts w:hint="eastAsia"/>
                <w:lang w:val="en-US" w:eastAsia="zh-CN"/>
              </w:rPr>
              <w:t>1</w:t>
            </w:r>
          </w:p>
        </w:tc>
        <w:tc>
          <w:tcPr>
            <w:tcW w:w="4605" w:type="dxa"/>
            <w:vAlign w:val="center"/>
          </w:tcPr>
          <w:p>
            <w:pPr>
              <w:pStyle w:val="16"/>
              <w:jc w:val="both"/>
              <w:rPr>
                <w:rFonts w:hint="default"/>
                <w:lang w:val="en-US" w:eastAsia="zh-CN"/>
              </w:rPr>
            </w:pPr>
            <w:r>
              <w:rPr>
                <w:kern w:val="0"/>
                <w:szCs w:val="32"/>
              </w:rPr>
              <w:t>优化产业结构。引导</w:t>
            </w:r>
            <w:r>
              <w:rPr>
                <w:bCs/>
                <w:szCs w:val="32"/>
              </w:rPr>
              <w:t>石化、化工、工业涂装</w:t>
            </w:r>
            <w:r>
              <w:rPr>
                <w:rFonts w:hint="eastAsia"/>
                <w:bCs/>
                <w:szCs w:val="32"/>
              </w:rPr>
              <w:t>、</w:t>
            </w:r>
            <w:r>
              <w:rPr>
                <w:bCs/>
                <w:szCs w:val="32"/>
              </w:rPr>
              <w:t>包装印刷</w:t>
            </w:r>
            <w:r>
              <w:rPr>
                <w:rFonts w:hint="eastAsia"/>
                <w:bCs/>
                <w:szCs w:val="32"/>
              </w:rPr>
              <w:t>、</w:t>
            </w:r>
            <w:r>
              <w:rPr>
                <w:bCs/>
                <w:szCs w:val="32"/>
              </w:rPr>
              <w:t>合成革、化纤、纺织印染等重点行业合理布局，限制高VOCs排放化工类建设项目，禁止建设生产和使用VOCs含量限值不符合国家标准的涂料、油墨、胶粘剂、清洗剂等项目。贯彻落实《产业结构调整指导目录》《国家鼓励的有毒有害原料（产品）替代品目录》，依法依规淘汰涉VOCs排放工艺和装备，加大引导退出限制类工艺和装备力度，从源头减少涉VOCs污染物产生。</w:t>
            </w:r>
          </w:p>
        </w:tc>
        <w:tc>
          <w:tcPr>
            <w:tcW w:w="2429" w:type="dxa"/>
            <w:vAlign w:val="center"/>
          </w:tcPr>
          <w:p>
            <w:pPr>
              <w:pStyle w:val="16"/>
              <w:jc w:val="both"/>
              <w:rPr>
                <w:rFonts w:hint="default"/>
                <w:lang w:val="en-US" w:eastAsia="zh-CN"/>
              </w:rPr>
            </w:pPr>
            <w:r>
              <w:rPr>
                <w:rFonts w:hint="eastAsia"/>
                <w:lang w:val="en-US" w:eastAsia="zh-CN"/>
              </w:rPr>
              <w:t>项目不属于使用不符合国家标准的涂料、油墨、粘胶剂、清洗剂等的项目。</w:t>
            </w:r>
          </w:p>
        </w:tc>
        <w:tc>
          <w:tcPr>
            <w:tcW w:w="0" w:type="auto"/>
            <w:vAlign w:val="center"/>
          </w:tcPr>
          <w:p>
            <w:pPr>
              <w:pStyle w:val="16"/>
              <w:jc w:val="center"/>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lang w:val="en-US" w:eastAsia="zh-CN"/>
              </w:rPr>
            </w:pPr>
            <w:r>
              <w:rPr>
                <w:rFonts w:hint="eastAsia"/>
                <w:lang w:val="en-US" w:eastAsia="zh-CN"/>
              </w:rPr>
              <w:t>2</w:t>
            </w:r>
          </w:p>
        </w:tc>
        <w:tc>
          <w:tcPr>
            <w:tcW w:w="4605" w:type="dxa"/>
            <w:vAlign w:val="center"/>
          </w:tcPr>
          <w:p>
            <w:pPr>
              <w:pStyle w:val="16"/>
              <w:jc w:val="both"/>
              <w:rPr>
                <w:rFonts w:hint="default"/>
                <w:lang w:val="en-US" w:eastAsia="zh-CN"/>
              </w:rPr>
            </w:pPr>
            <w:r>
              <w:rPr>
                <w:kern w:val="0"/>
                <w:szCs w:val="32"/>
              </w:rPr>
              <w:t>严格环境准入。严</w:t>
            </w:r>
            <w:r>
              <w:rPr>
                <w:bCs/>
                <w:szCs w:val="32"/>
              </w:rPr>
              <w:t>格执行“三线一单”为核心的生态环境分区管控体系，制（修）订纺织印染（数码喷印）等行业绿色准入指导意见。严格执行建设项目新增VOCs排放量区域削减替代规定，削减措施原则上应优先来源于纳入排污许可管理的排污单位采取的治理措施，并与建设项目位于同一设区市。上一年度环境空气质量达标的区域，对石化等行业的建设项目VOCs排放量实行等量削减；上一年度环境空气质量不达标的区域，对石化等行业的建设项目VOCs排放量实行2倍量削减，直至达标后的下一年再恢复等量削减。</w:t>
            </w:r>
          </w:p>
        </w:tc>
        <w:tc>
          <w:tcPr>
            <w:tcW w:w="2429" w:type="dxa"/>
            <w:vAlign w:val="center"/>
          </w:tcPr>
          <w:p>
            <w:pPr>
              <w:pStyle w:val="16"/>
              <w:jc w:val="both"/>
              <w:rPr>
                <w:rFonts w:hint="default"/>
                <w:lang w:val="en-US" w:eastAsia="zh-CN"/>
              </w:rPr>
            </w:pPr>
            <w:r>
              <w:rPr>
                <w:rFonts w:hint="eastAsia"/>
                <w:lang w:val="en-US" w:eastAsia="zh-CN"/>
              </w:rPr>
              <w:t>根据上文中“三线一单”符合性分析，本项目的建设符合生态保护红线、环境质量底线、资源利用上线和生态环境准入清单管控要求。项目严格执行新增VOCs排放量区域削减替代规定。</w:t>
            </w:r>
          </w:p>
        </w:tc>
        <w:tc>
          <w:tcPr>
            <w:tcW w:w="0" w:type="auto"/>
            <w:vAlign w:val="center"/>
          </w:tcPr>
          <w:p>
            <w:pPr>
              <w:pStyle w:val="16"/>
              <w:jc w:val="center"/>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lang w:val="en-US" w:eastAsia="zh-CN"/>
              </w:rPr>
            </w:pPr>
            <w:r>
              <w:rPr>
                <w:rFonts w:hint="eastAsia"/>
                <w:lang w:val="en-US" w:eastAsia="zh-CN"/>
              </w:rPr>
              <w:t>3</w:t>
            </w:r>
          </w:p>
        </w:tc>
        <w:tc>
          <w:tcPr>
            <w:tcW w:w="4605" w:type="dxa"/>
            <w:vAlign w:val="center"/>
          </w:tcPr>
          <w:p>
            <w:pPr>
              <w:pStyle w:val="16"/>
              <w:jc w:val="both"/>
              <w:rPr>
                <w:rFonts w:hint="default"/>
                <w:lang w:val="en-US" w:eastAsia="zh-CN"/>
              </w:rPr>
            </w:pPr>
            <w:r>
              <w:rPr>
                <w:kern w:val="0"/>
                <w:szCs w:val="32"/>
              </w:rPr>
              <w:t>全面提升生产工艺绿色化水平。石化、化工等行业应采用原辅材料利用率高、废弃物产生量少的生产工艺，提升生产装备水平，采用密闭化、连续化、自动化、</w:t>
            </w:r>
            <w:r>
              <w:rPr>
                <w:bCs/>
                <w:kern w:val="0"/>
                <w:szCs w:val="32"/>
              </w:rPr>
              <w:t>管道化</w:t>
            </w:r>
            <w:r>
              <w:rPr>
                <w:kern w:val="0"/>
                <w:szCs w:val="32"/>
              </w:rPr>
              <w:t>等生产技术，</w:t>
            </w:r>
            <w:r>
              <w:rPr>
                <w:bCs/>
                <w:kern w:val="0"/>
                <w:szCs w:val="32"/>
              </w:rPr>
              <w:t>鼓励工艺装置采取重力流布置，</w:t>
            </w:r>
            <w:r>
              <w:rPr>
                <w:kern w:val="0"/>
                <w:szCs w:val="32"/>
              </w:rPr>
              <w:t>推广采用油品在线调和技术、密闭式循环水冷却系统等。工业涂装行业重点推进使用紧凑式涂装工艺，推广采用辊涂、静电喷涂、高压无气喷涂、空气辅助无气喷涂、热喷涂、超临界二氧化碳喷涂等技术，鼓励企业采用自动化、智能化喷涂设备替代人工喷涂，减少使用空气喷涂技术。包装印刷行业推广使用无溶剂复合、共挤出复合技术，鼓励采用水性凹印、醇水凹印、辐射固化凹印、柔版印刷、无水胶印等印刷工艺。鼓励生产工艺装备落后、在既有基础上整改困难的企业推倒重建，从车间布局、工艺装备等方面全面提升治理水平。</w:t>
            </w:r>
          </w:p>
        </w:tc>
        <w:tc>
          <w:tcPr>
            <w:tcW w:w="2429" w:type="dxa"/>
            <w:vAlign w:val="center"/>
          </w:tcPr>
          <w:p>
            <w:pPr>
              <w:pStyle w:val="16"/>
              <w:jc w:val="both"/>
              <w:rPr>
                <w:rFonts w:hint="default"/>
                <w:lang w:val="en-US" w:eastAsia="zh-CN"/>
              </w:rPr>
            </w:pPr>
            <w:r>
              <w:rPr>
                <w:rFonts w:hint="eastAsia"/>
                <w:shd w:val="clear"/>
                <w:lang w:val="en-US" w:eastAsia="zh-CN"/>
              </w:rPr>
              <w:t>本项目不属于石化、化工等行业，喷塑采用静电喷涂工艺。</w:t>
            </w:r>
          </w:p>
        </w:tc>
        <w:tc>
          <w:tcPr>
            <w:tcW w:w="0" w:type="auto"/>
            <w:vAlign w:val="center"/>
          </w:tcPr>
          <w:p>
            <w:pPr>
              <w:pStyle w:val="16"/>
              <w:jc w:val="center"/>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lang w:val="en-US" w:eastAsia="zh-CN"/>
              </w:rPr>
            </w:pPr>
            <w:r>
              <w:rPr>
                <w:rFonts w:hint="eastAsia"/>
                <w:lang w:val="en-US" w:eastAsia="zh-CN"/>
              </w:rPr>
              <w:t>4</w:t>
            </w:r>
          </w:p>
        </w:tc>
        <w:tc>
          <w:tcPr>
            <w:tcW w:w="4605" w:type="dxa"/>
            <w:vAlign w:val="center"/>
          </w:tcPr>
          <w:p>
            <w:pPr>
              <w:pStyle w:val="16"/>
              <w:jc w:val="both"/>
              <w:rPr>
                <w:rFonts w:hint="default"/>
                <w:lang w:val="en-US" w:eastAsia="zh-CN"/>
              </w:rPr>
            </w:pPr>
            <w:r>
              <w:rPr>
                <w:kern w:val="0"/>
                <w:szCs w:val="32"/>
              </w:rPr>
              <w:t>全面推行工业涂装企业使用低VOCs含量原辅材料。</w:t>
            </w:r>
            <w:r>
              <w:rPr>
                <w:bCs/>
                <w:szCs w:val="32"/>
              </w:rPr>
              <w:t>严格执行《大气污染防治法》第四十六条规定，选用粉末涂料、水性涂料、无溶剂涂料、辐射固化涂料等环境友好型涂料和符合</w:t>
            </w:r>
            <w:r>
              <w:rPr>
                <w:rFonts w:hint="eastAsia"/>
                <w:bCs/>
                <w:szCs w:val="32"/>
              </w:rPr>
              <w:t>要求</w:t>
            </w:r>
            <w:r>
              <w:rPr>
                <w:bCs/>
                <w:szCs w:val="32"/>
              </w:rPr>
              <w:t>的（高固体分）溶剂型涂料。工业涂装企业所使用的水性涂料、溶剂型涂料、无溶剂涂料、辐射固化涂料应符合《低挥发性有机化合物含量涂料产品技术要求》</w:t>
            </w:r>
            <w:r>
              <w:rPr>
                <w:rFonts w:hint="eastAsia"/>
                <w:bCs/>
                <w:szCs w:val="32"/>
              </w:rPr>
              <w:t>规定</w:t>
            </w:r>
            <w:r>
              <w:rPr>
                <w:bCs/>
                <w:szCs w:val="32"/>
              </w:rPr>
              <w:t>的VOCs含量限值要求，</w:t>
            </w:r>
            <w:r>
              <w:rPr>
                <w:rFonts w:hint="eastAsia"/>
                <w:bCs/>
                <w:szCs w:val="32"/>
              </w:rPr>
              <w:t>并</w:t>
            </w:r>
            <w:r>
              <w:rPr>
                <w:bCs/>
                <w:szCs w:val="32"/>
              </w:rPr>
              <w:t>建立台账，记录原辅材料的使用量、废弃量、去向以及VOCs含量。</w:t>
            </w:r>
          </w:p>
        </w:tc>
        <w:tc>
          <w:tcPr>
            <w:tcW w:w="2429" w:type="dxa"/>
            <w:vAlign w:val="center"/>
          </w:tcPr>
          <w:p>
            <w:pPr>
              <w:pStyle w:val="16"/>
              <w:jc w:val="both"/>
              <w:rPr>
                <w:rFonts w:hint="default"/>
                <w:lang w:val="en-US" w:eastAsia="zh-CN"/>
              </w:rPr>
            </w:pPr>
            <w:r>
              <w:rPr>
                <w:rFonts w:hint="eastAsia"/>
                <w:highlight w:val="none"/>
                <w:shd w:val="clear"/>
                <w:lang w:val="en-US" w:eastAsia="zh-CN"/>
              </w:rPr>
              <w:t>项目不涉及涂料的使用。</w:t>
            </w:r>
          </w:p>
        </w:tc>
        <w:tc>
          <w:tcPr>
            <w:tcW w:w="0" w:type="auto"/>
            <w:vAlign w:val="center"/>
          </w:tcPr>
          <w:p>
            <w:pPr>
              <w:pStyle w:val="16"/>
              <w:jc w:val="center"/>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lang w:val="en-US" w:eastAsia="zh-CN"/>
              </w:rPr>
            </w:pPr>
            <w:r>
              <w:rPr>
                <w:rFonts w:hint="eastAsia"/>
                <w:lang w:val="en-US" w:eastAsia="zh-CN"/>
              </w:rPr>
              <w:t>5</w:t>
            </w:r>
          </w:p>
        </w:tc>
        <w:tc>
          <w:tcPr>
            <w:tcW w:w="4605" w:type="dxa"/>
            <w:vAlign w:val="center"/>
          </w:tcPr>
          <w:p>
            <w:pPr>
              <w:pStyle w:val="16"/>
              <w:jc w:val="both"/>
              <w:rPr>
                <w:rFonts w:hint="default"/>
                <w:lang w:val="en-US" w:eastAsia="zh-CN"/>
              </w:rPr>
            </w:pPr>
            <w:r>
              <w:rPr>
                <w:kern w:val="0"/>
                <w:szCs w:val="32"/>
              </w:rPr>
              <w:t>大力推进低VOCs含量原辅材料的源头替代。</w:t>
            </w:r>
            <w:r>
              <w:rPr>
                <w:szCs w:val="32"/>
              </w:rPr>
              <w:t>全面排查</w:t>
            </w:r>
            <w:r>
              <w:rPr>
                <w:bCs/>
                <w:szCs w:val="32"/>
              </w:rPr>
              <w:t>使用溶剂型工业</w:t>
            </w:r>
            <w:r>
              <w:rPr>
                <w:szCs w:val="32"/>
              </w:rPr>
              <w:t>涂料、油墨、胶粘剂</w:t>
            </w:r>
            <w:r>
              <w:rPr>
                <w:bCs/>
                <w:szCs w:val="32"/>
              </w:rPr>
              <w:t>、清洗剂等原辅材料的企业，</w:t>
            </w:r>
            <w:r>
              <w:rPr>
                <w:szCs w:val="32"/>
              </w:rPr>
              <w:t>各</w:t>
            </w:r>
            <w:r>
              <w:rPr>
                <w:rFonts w:hint="eastAsia"/>
                <w:szCs w:val="32"/>
              </w:rPr>
              <w:t>地</w:t>
            </w:r>
            <w:r>
              <w:rPr>
                <w:szCs w:val="32"/>
              </w:rPr>
              <w:t>应结合本地产业特点和本方案指导目录（见附</w:t>
            </w:r>
            <w:r>
              <w:rPr>
                <w:rFonts w:hint="eastAsia"/>
                <w:szCs w:val="32"/>
              </w:rPr>
              <w:t>件</w:t>
            </w:r>
            <w:r>
              <w:rPr>
                <w:szCs w:val="32"/>
              </w:rPr>
              <w:t>1），制定低VOCs含量原辅材料源头替代实施计划，明确分行业源头替代时间表，按照“可替尽替、应代尽代”的原则，实施一批替代溶剂型原辅材料的项目</w:t>
            </w:r>
            <w:r>
              <w:rPr>
                <w:kern w:val="0"/>
                <w:szCs w:val="32"/>
              </w:rPr>
              <w:t>。</w:t>
            </w:r>
            <w:r>
              <w:rPr>
                <w:bCs/>
                <w:kern w:val="0"/>
                <w:szCs w:val="32"/>
              </w:rPr>
              <w:t>加快低VOCs含量原辅材料研发、生产和应用，在更多技术成熟领域逐渐推广使用低VOCs含量原辅材料，</w:t>
            </w:r>
            <w:r>
              <w:rPr>
                <w:szCs w:val="32"/>
              </w:rPr>
              <w:t>到2025年，溶剂型工业涂料、油墨、胶粘剂等使用量下降比例达到国家要求。</w:t>
            </w:r>
          </w:p>
        </w:tc>
        <w:tc>
          <w:tcPr>
            <w:tcW w:w="2429" w:type="dxa"/>
            <w:vAlign w:val="center"/>
          </w:tcPr>
          <w:p>
            <w:pPr>
              <w:pStyle w:val="16"/>
              <w:jc w:val="both"/>
              <w:rPr>
                <w:rFonts w:hint="default"/>
                <w:lang w:val="en-US" w:eastAsia="zh-CN"/>
              </w:rPr>
            </w:pPr>
            <w:r>
              <w:rPr>
                <w:rFonts w:hint="eastAsia"/>
                <w:lang w:val="en-US" w:eastAsia="zh-CN"/>
              </w:rPr>
              <w:t>项目不涉及工业涂料、油墨、粘胶剂、清洗剂等原辅料的使用。</w:t>
            </w:r>
          </w:p>
        </w:tc>
        <w:tc>
          <w:tcPr>
            <w:tcW w:w="0" w:type="auto"/>
            <w:vAlign w:val="center"/>
          </w:tcPr>
          <w:p>
            <w:pPr>
              <w:pStyle w:val="16"/>
              <w:jc w:val="center"/>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lang w:val="en-US" w:eastAsia="zh-CN"/>
              </w:rPr>
            </w:pPr>
            <w:r>
              <w:rPr>
                <w:rFonts w:hint="eastAsia"/>
                <w:lang w:val="en-US" w:eastAsia="zh-CN"/>
              </w:rPr>
              <w:t>6</w:t>
            </w:r>
          </w:p>
        </w:tc>
        <w:tc>
          <w:tcPr>
            <w:tcW w:w="4605" w:type="dxa"/>
            <w:vAlign w:val="center"/>
          </w:tcPr>
          <w:p>
            <w:pPr>
              <w:pStyle w:val="16"/>
              <w:jc w:val="both"/>
              <w:rPr>
                <w:rFonts w:hint="default"/>
                <w:lang w:val="en-US" w:eastAsia="zh-CN"/>
              </w:rPr>
            </w:pPr>
            <w:r>
              <w:rPr>
                <w:kern w:val="0"/>
                <w:szCs w:val="32"/>
              </w:rPr>
              <w:t>严格控制无组织排放。在保证安全前提下，加强含VOCs物料全方位、全链条、全环节密闭管理，做好VOCs物料储存、转移和输送、设备与管线组件泄漏、敞开液面逸散以及工艺过程等无组织排放环节的管理。生产应优先采用密闭设备、在密闭空间中操作或采用全密闭集气罩收集方式，原则上应保持微负压状态，并根据相关规范合理设置通风量；采用局部集气罩的，距集气罩开口面最远处的VOCs无组织排放位置控制风速应不低于0.3米/秒。对VOCs物料储罐和污水集输、储存、处理设施开展排查，督促企业按要求开展专项治理。</w:t>
            </w:r>
          </w:p>
        </w:tc>
        <w:tc>
          <w:tcPr>
            <w:tcW w:w="2429" w:type="dxa"/>
            <w:vAlign w:val="center"/>
          </w:tcPr>
          <w:p>
            <w:pPr>
              <w:pStyle w:val="16"/>
              <w:jc w:val="center"/>
              <w:rPr>
                <w:rFonts w:hint="default"/>
                <w:lang w:val="en-US" w:eastAsia="zh-CN"/>
              </w:rPr>
            </w:pPr>
            <w:r>
              <w:rPr>
                <w:rFonts w:hint="eastAsia"/>
                <w:lang w:val="en-US" w:eastAsia="zh-CN"/>
              </w:rPr>
              <w:t>项目按相关要求执行。</w:t>
            </w:r>
          </w:p>
        </w:tc>
        <w:tc>
          <w:tcPr>
            <w:tcW w:w="0" w:type="auto"/>
            <w:vAlign w:val="center"/>
          </w:tcPr>
          <w:p>
            <w:pPr>
              <w:pStyle w:val="16"/>
              <w:jc w:val="center"/>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lang w:val="en-US" w:eastAsia="zh-CN"/>
              </w:rPr>
            </w:pPr>
            <w:r>
              <w:rPr>
                <w:rFonts w:hint="eastAsia"/>
                <w:lang w:val="en-US" w:eastAsia="zh-CN"/>
              </w:rPr>
              <w:t>7</w:t>
            </w:r>
          </w:p>
        </w:tc>
        <w:tc>
          <w:tcPr>
            <w:tcW w:w="4605" w:type="dxa"/>
            <w:vAlign w:val="center"/>
          </w:tcPr>
          <w:p>
            <w:pPr>
              <w:pStyle w:val="16"/>
              <w:jc w:val="both"/>
              <w:rPr>
                <w:b w:val="0"/>
                <w:bCs w:val="0"/>
                <w:kern w:val="0"/>
                <w:szCs w:val="32"/>
              </w:rPr>
            </w:pPr>
            <w:r>
              <w:rPr>
                <w:b w:val="0"/>
                <w:bCs w:val="0"/>
                <w:kern w:val="0"/>
                <w:szCs w:val="32"/>
              </w:rPr>
              <w:t>建设适宜高效的治理设施。企业新建</w:t>
            </w:r>
            <w:r>
              <w:rPr>
                <w:rFonts w:hint="eastAsia"/>
                <w:b w:val="0"/>
                <w:bCs w:val="0"/>
                <w:kern w:val="0"/>
                <w:szCs w:val="32"/>
              </w:rPr>
              <w:t>治理</w:t>
            </w:r>
            <w:r>
              <w:rPr>
                <w:b w:val="0"/>
                <w:bCs w:val="0"/>
                <w:kern w:val="0"/>
                <w:szCs w:val="32"/>
              </w:rPr>
              <w:t>设施或对现有</w:t>
            </w:r>
            <w:r>
              <w:rPr>
                <w:rFonts w:hint="eastAsia"/>
                <w:b w:val="0"/>
                <w:bCs w:val="0"/>
                <w:kern w:val="0"/>
                <w:szCs w:val="32"/>
              </w:rPr>
              <w:t>治理</w:t>
            </w:r>
            <w:r>
              <w:rPr>
                <w:b w:val="0"/>
                <w:bCs w:val="0"/>
                <w:kern w:val="0"/>
                <w:szCs w:val="32"/>
              </w:rPr>
              <w:t>设施实施改造，应结合排放VOCs产生特征、生产工况等合理选择治理技术，对治理难度大、单一治理工艺难以稳定达标的，要采用多种技术的组合工艺。采用活性炭吸附技术的，吸附装置和活性炭应符合相关技术要求，并按要求足量添加、定期更换</w:t>
            </w:r>
            <w:r>
              <w:rPr>
                <w:rFonts w:hint="eastAsia"/>
                <w:b w:val="0"/>
                <w:bCs w:val="0"/>
                <w:kern w:val="0"/>
                <w:szCs w:val="32"/>
              </w:rPr>
              <w:t>活性炭</w:t>
            </w:r>
            <w:r>
              <w:rPr>
                <w:b w:val="0"/>
                <w:bCs w:val="0"/>
                <w:kern w:val="0"/>
                <w:szCs w:val="32"/>
              </w:rPr>
              <w:t>。组织开展使用光催化、光氧化、低温等离子、一次性活性炭或上述组合技术等VOCs治理设施排查，对达不到要求的，应当更换或升级改造，实现稳定达标排放。</w:t>
            </w:r>
            <w:r>
              <w:rPr>
                <w:kern w:val="0"/>
                <w:szCs w:val="32"/>
              </w:rPr>
              <w:t>石化行业的VOCs综合去除效率达到70%以上，化工、工业涂装、包装印刷、合成革等行业的VOCs综合去除效率达到60%以上。</w:t>
            </w:r>
          </w:p>
        </w:tc>
        <w:tc>
          <w:tcPr>
            <w:tcW w:w="2429" w:type="dxa"/>
            <w:vAlign w:val="center"/>
          </w:tcPr>
          <w:p>
            <w:pPr>
              <w:pStyle w:val="16"/>
              <w:jc w:val="both"/>
              <w:rPr>
                <w:rFonts w:hint="default"/>
                <w:lang w:val="en-US" w:eastAsia="zh-CN"/>
              </w:rPr>
            </w:pPr>
            <w:r>
              <w:rPr>
                <w:rFonts w:hint="eastAsia"/>
                <w:lang w:val="en-US" w:eastAsia="zh-CN"/>
              </w:rPr>
              <w:t>项目产生的VOCs主要为注塑废气，注塑废气收集后经活性炭吸附装置处理，要求企业按要求足量添加、定期更换活性炭，VOCs处理效率达到60%以上。</w:t>
            </w:r>
          </w:p>
        </w:tc>
        <w:tc>
          <w:tcPr>
            <w:tcW w:w="0" w:type="auto"/>
            <w:vAlign w:val="center"/>
          </w:tcPr>
          <w:p>
            <w:pPr>
              <w:pStyle w:val="16"/>
              <w:jc w:val="center"/>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lang w:val="en-US" w:eastAsia="zh-CN"/>
              </w:rPr>
            </w:pPr>
            <w:r>
              <w:rPr>
                <w:rFonts w:hint="eastAsia"/>
                <w:lang w:val="en-US" w:eastAsia="zh-CN"/>
              </w:rPr>
              <w:t>8</w:t>
            </w:r>
          </w:p>
        </w:tc>
        <w:tc>
          <w:tcPr>
            <w:tcW w:w="4605" w:type="dxa"/>
            <w:vAlign w:val="center"/>
          </w:tcPr>
          <w:p>
            <w:pPr>
              <w:pStyle w:val="16"/>
              <w:jc w:val="both"/>
              <w:rPr>
                <w:b w:val="0"/>
                <w:bCs w:val="0"/>
                <w:kern w:val="0"/>
                <w:szCs w:val="32"/>
              </w:rPr>
            </w:pPr>
            <w:r>
              <w:rPr>
                <w:b w:val="0"/>
                <w:bCs w:val="0"/>
                <w:kern w:val="0"/>
                <w:szCs w:val="32"/>
              </w:rPr>
              <w:t>加强治理设施运行管理。按照</w:t>
            </w:r>
            <w:r>
              <w:rPr>
                <w:rFonts w:hint="eastAsia"/>
                <w:b w:val="0"/>
                <w:bCs w:val="0"/>
                <w:kern w:val="0"/>
                <w:szCs w:val="32"/>
              </w:rPr>
              <w:t>治理设施较</w:t>
            </w:r>
            <w:r>
              <w:rPr>
                <w:b w:val="0"/>
                <w:bCs w:val="0"/>
                <w:kern w:val="0"/>
                <w:szCs w:val="32"/>
              </w:rPr>
              <w:t>生产设备“先启后停”的原则提升治理设施</w:t>
            </w:r>
            <w:r>
              <w:rPr>
                <w:rFonts w:hint="eastAsia"/>
                <w:b w:val="0"/>
                <w:bCs w:val="0"/>
                <w:kern w:val="0"/>
                <w:szCs w:val="32"/>
              </w:rPr>
              <w:t>投运</w:t>
            </w:r>
            <w:r>
              <w:rPr>
                <w:b w:val="0"/>
                <w:bCs w:val="0"/>
                <w:kern w:val="0"/>
                <w:szCs w:val="32"/>
              </w:rPr>
              <w:t>率。根据处理工艺要求，在</w:t>
            </w:r>
            <w:r>
              <w:rPr>
                <w:rFonts w:hint="eastAsia"/>
                <w:b w:val="0"/>
                <w:bCs w:val="0"/>
                <w:kern w:val="0"/>
                <w:szCs w:val="32"/>
              </w:rPr>
              <w:t>治理</w:t>
            </w:r>
            <w:r>
              <w:rPr>
                <w:b w:val="0"/>
                <w:bCs w:val="0"/>
                <w:kern w:val="0"/>
                <w:szCs w:val="32"/>
              </w:rPr>
              <w:t>设施达到正常运行条件后方可启动生产设备，在生产设备停止、残留VOCs收集处理完毕后，方可停运</w:t>
            </w:r>
            <w:r>
              <w:rPr>
                <w:rFonts w:hint="eastAsia"/>
                <w:b w:val="0"/>
                <w:bCs w:val="0"/>
                <w:kern w:val="0"/>
                <w:szCs w:val="32"/>
              </w:rPr>
              <w:t>治理</w:t>
            </w:r>
            <w:r>
              <w:rPr>
                <w:b w:val="0"/>
                <w:bCs w:val="0"/>
                <w:kern w:val="0"/>
                <w:szCs w:val="32"/>
              </w:rPr>
              <w:t>设施。VOCs</w:t>
            </w:r>
            <w:r>
              <w:rPr>
                <w:rFonts w:hint="eastAsia"/>
                <w:b w:val="0"/>
                <w:bCs w:val="0"/>
                <w:kern w:val="0"/>
                <w:szCs w:val="32"/>
              </w:rPr>
              <w:t>治理设施</w:t>
            </w:r>
            <w:r>
              <w:rPr>
                <w:b w:val="0"/>
                <w:bCs w:val="0"/>
                <w:kern w:val="0"/>
                <w:szCs w:val="32"/>
              </w:rPr>
              <w:t>发生故障或检修时，对应生产设备应停止运行，待检修完毕后投入使用；因安全等因素生产设备不能停止或不能及时停止运行的，应设置废气应急处理设施或采取其他替代措施。</w:t>
            </w:r>
          </w:p>
        </w:tc>
        <w:tc>
          <w:tcPr>
            <w:tcW w:w="2429" w:type="dxa"/>
            <w:vAlign w:val="center"/>
          </w:tcPr>
          <w:p>
            <w:pPr>
              <w:pStyle w:val="16"/>
              <w:jc w:val="both"/>
              <w:rPr>
                <w:rFonts w:hint="default"/>
                <w:lang w:val="en-US" w:eastAsia="zh-CN"/>
              </w:rPr>
            </w:pPr>
            <w:r>
              <w:rPr>
                <w:rFonts w:hint="eastAsia"/>
                <w:lang w:val="en-US" w:eastAsia="zh-CN"/>
              </w:rPr>
              <w:t>本项目拟严格按照要求落实设备管理。</w:t>
            </w:r>
          </w:p>
        </w:tc>
        <w:tc>
          <w:tcPr>
            <w:tcW w:w="0" w:type="auto"/>
            <w:vAlign w:val="center"/>
          </w:tcPr>
          <w:p>
            <w:pPr>
              <w:pStyle w:val="16"/>
              <w:jc w:val="center"/>
              <w:rPr>
                <w:rFonts w:hint="default"/>
                <w:lang w:val="en-US" w:eastAsia="zh-CN"/>
              </w:rPr>
            </w:pPr>
            <w:r>
              <w:rPr>
                <w:rFonts w:hint="eastAsia"/>
                <w:lang w:val="en-US" w:eastAsia="zh-CN"/>
              </w:rPr>
              <w:t>符合</w:t>
            </w:r>
          </w:p>
        </w:tc>
      </w:tr>
    </w:tbl>
    <w:p>
      <w:pPr>
        <w:numPr>
          <w:ilvl w:val="-1"/>
          <w:numId w:val="0"/>
        </w:numPr>
        <w:autoSpaceDE w:val="0"/>
        <w:autoSpaceDN w:val="0"/>
        <w:adjustRightInd w:val="0"/>
        <w:spacing w:line="480" w:lineRule="exact"/>
        <w:ind w:firstLine="420" w:firstLineChars="200"/>
        <w:rPr>
          <w:rFonts w:hint="default" w:ascii="Times New Roman" w:hAnsi="Times New Roman" w:cs="Times New Roman"/>
          <w:lang w:val="en-US" w:eastAsia="zh-CN"/>
        </w:rPr>
      </w:pPr>
      <w:r>
        <w:rPr>
          <w:rFonts w:hint="eastAsia" w:ascii="Times New Roman" w:hAnsi="Times New Roman" w:cs="Times New Roman"/>
          <w:lang w:val="en-US" w:eastAsia="zh-CN"/>
        </w:rPr>
        <w:t>综上所述，本项目符合《浙江省“十四五”挥发性有机物综合治理方案》的管理要求。</w:t>
      </w:r>
    </w:p>
    <w:p>
      <w:pPr>
        <w:numPr>
          <w:ilvl w:val="-1"/>
          <w:numId w:val="0"/>
        </w:numPr>
        <w:autoSpaceDE w:val="0"/>
        <w:autoSpaceDN w:val="0"/>
        <w:adjustRightInd w:val="0"/>
        <w:spacing w:line="480" w:lineRule="exact"/>
        <w:ind w:firstLine="420" w:firstLineChars="200"/>
        <w:rPr>
          <w:rFonts w:hint="eastAsia" w:ascii="Times New Roman" w:hAnsi="Times New Roman" w:cs="Times New Roman"/>
          <w:lang w:val="en-US" w:eastAsia="zh-CN"/>
        </w:rPr>
      </w:pPr>
    </w:p>
    <w:p>
      <w:pPr>
        <w:numPr>
          <w:ilvl w:val="-1"/>
          <w:numId w:val="0"/>
        </w:numPr>
        <w:autoSpaceDE w:val="0"/>
        <w:autoSpaceDN w:val="0"/>
        <w:adjustRightInd w:val="0"/>
        <w:spacing w:line="480" w:lineRule="exact"/>
        <w:ind w:firstLine="420" w:firstLineChars="200"/>
        <w:rPr>
          <w:rFonts w:hint="default" w:ascii="Times New Roman" w:hAnsi="Times New Roman" w:cs="Times New Roman"/>
          <w:lang w:val="en-US" w:eastAsia="zh-CN"/>
        </w:rPr>
      </w:pPr>
      <w:r>
        <w:rPr>
          <w:rFonts w:hint="eastAsia" w:ascii="Times New Roman" w:hAnsi="Times New Roman" w:cs="Times New Roman"/>
          <w:lang w:val="en-US" w:eastAsia="zh-CN"/>
        </w:rPr>
        <w:t>特此说明！</w:t>
      </w:r>
    </w:p>
    <w:p>
      <w:pPr>
        <w:numPr>
          <w:ilvl w:val="-1"/>
          <w:numId w:val="0"/>
        </w:numPr>
        <w:autoSpaceDE w:val="0"/>
        <w:autoSpaceDN w:val="0"/>
        <w:adjustRightInd w:val="0"/>
        <w:spacing w:line="480" w:lineRule="exact"/>
        <w:ind w:firstLine="5460" w:firstLineChars="2600"/>
        <w:rPr>
          <w:rFonts w:hint="eastAsia" w:ascii="Times New Roman" w:hAnsi="Times New Roman" w:cs="Times New Roman"/>
          <w:lang w:val="en-US" w:eastAsia="zh-CN"/>
        </w:rPr>
      </w:pPr>
    </w:p>
    <w:p>
      <w:pPr>
        <w:numPr>
          <w:ilvl w:val="-1"/>
          <w:numId w:val="0"/>
        </w:numPr>
        <w:autoSpaceDE w:val="0"/>
        <w:autoSpaceDN w:val="0"/>
        <w:adjustRightInd w:val="0"/>
        <w:spacing w:line="480" w:lineRule="exact"/>
        <w:ind w:firstLine="5460" w:firstLineChars="2600"/>
        <w:rPr>
          <w:rFonts w:hint="eastAsia" w:ascii="Times New Roman" w:hAnsi="Times New Roman" w:cs="Times New Roman"/>
          <w:lang w:val="en-US" w:eastAsia="zh-CN"/>
        </w:rPr>
      </w:pPr>
    </w:p>
    <w:p>
      <w:pPr>
        <w:numPr>
          <w:ilvl w:val="-1"/>
          <w:numId w:val="0"/>
        </w:numPr>
        <w:autoSpaceDE w:val="0"/>
        <w:autoSpaceDN w:val="0"/>
        <w:adjustRightInd w:val="0"/>
        <w:spacing w:line="480" w:lineRule="exact"/>
        <w:ind w:firstLine="5460" w:firstLineChars="2600"/>
        <w:rPr>
          <w:rFonts w:hint="eastAsia" w:ascii="Times New Roman" w:hAnsi="Times New Roman" w:cs="Times New Roman"/>
          <w:lang w:val="en-US" w:eastAsia="zh-CN"/>
        </w:rPr>
      </w:pPr>
      <w:r>
        <w:rPr>
          <w:rFonts w:hint="eastAsia" w:ascii="Times New Roman" w:hAnsi="Times New Roman" w:cs="Times New Roman"/>
          <w:lang w:val="en-US" w:eastAsia="zh-CN"/>
        </w:rPr>
        <w:t>杭州诚祥塑胶制品有限公司</w:t>
      </w:r>
    </w:p>
    <w:p>
      <w:pPr>
        <w:numPr>
          <w:ilvl w:val="-1"/>
          <w:numId w:val="0"/>
        </w:numPr>
        <w:autoSpaceDE w:val="0"/>
        <w:autoSpaceDN w:val="0"/>
        <w:adjustRightInd w:val="0"/>
        <w:spacing w:line="480" w:lineRule="exact"/>
        <w:ind w:firstLine="6090" w:firstLineChars="2900"/>
        <w:rPr>
          <w:rFonts w:hint="default" w:ascii="Times New Roman" w:hAnsi="Times New Roman" w:cs="Times New Roman"/>
          <w:lang w:val="en-US" w:eastAsia="zh-CN"/>
        </w:rPr>
      </w:pPr>
      <w:r>
        <w:rPr>
          <w:rFonts w:hint="eastAsia" w:ascii="Times New Roman" w:hAnsi="Times New Roman" w:cs="Times New Roman"/>
          <w:lang w:val="en-US" w:eastAsia="zh-CN"/>
        </w:rPr>
        <w:t>年  月  日</w:t>
      </w:r>
      <w:bookmarkStart w:id="0" w:name="_GoBack"/>
      <w:bookmarkEnd w:id="0"/>
    </w:p>
    <w:p>
      <w:pPr>
        <w:numPr>
          <w:ilvl w:val="-1"/>
          <w:numId w:val="0"/>
        </w:numPr>
        <w:autoSpaceDE w:val="0"/>
        <w:autoSpaceDN w:val="0"/>
        <w:adjustRightInd w:val="0"/>
        <w:spacing w:line="480" w:lineRule="exact"/>
        <w:rPr>
          <w:rFonts w:hint="eastAsia" w:ascii="Times New Roman" w:hAnsi="Times New Roman" w:cs="Times New Roman"/>
          <w:b/>
          <w:bCs/>
          <w:lang w:val="en-US" w:eastAsia="zh-CN"/>
        </w:rPr>
      </w:pPr>
    </w:p>
    <w:p>
      <w:pPr>
        <w:numPr>
          <w:ilvl w:val="-1"/>
          <w:numId w:val="0"/>
        </w:numPr>
        <w:autoSpaceDE w:val="0"/>
        <w:autoSpaceDN w:val="0"/>
        <w:adjustRightInd w:val="0"/>
        <w:spacing w:line="480" w:lineRule="exact"/>
        <w:rPr>
          <w:rFonts w:hint="eastAsia" w:ascii="Times New Roman" w:hAnsi="Times New Roman" w:cs="Times New Roman"/>
          <w:b/>
          <w:bCs/>
          <w:lang w:val="en-US" w:eastAsia="zh-CN"/>
        </w:rPr>
      </w:pPr>
    </w:p>
    <w:p>
      <w:pPr>
        <w:numPr>
          <w:ilvl w:val="-1"/>
          <w:numId w:val="0"/>
        </w:numPr>
        <w:autoSpaceDE w:val="0"/>
        <w:autoSpaceDN w:val="0"/>
        <w:adjustRightInd w:val="0"/>
        <w:spacing w:line="480" w:lineRule="exact"/>
        <w:rPr>
          <w:rFonts w:hint="eastAsia" w:ascii="Times New Roman" w:hAnsi="Times New Roman" w:cs="Times New Roman"/>
          <w:b/>
          <w:bCs/>
          <w:lang w:val="en-US" w:eastAsia="zh-CN"/>
        </w:rPr>
      </w:pPr>
      <w:r>
        <w:rPr>
          <w:rFonts w:hint="eastAsia" w:ascii="Times New Roman" w:hAnsi="Times New Roman" w:cs="Times New Roman"/>
          <w:b/>
          <w:bCs/>
          <w:lang w:val="en-US" w:eastAsia="zh-CN"/>
        </w:rPr>
        <w:t>附：本项目生产设备清单、原辅材料年用量、工艺流程。</w:t>
      </w:r>
    </w:p>
    <w:p>
      <w:pPr>
        <w:numPr>
          <w:ilvl w:val="-1"/>
          <w:numId w:val="0"/>
        </w:numPr>
        <w:autoSpaceDE w:val="0"/>
        <w:autoSpaceDN w:val="0"/>
        <w:adjustRightInd w:val="0"/>
        <w:spacing w:line="480" w:lineRule="exact"/>
        <w:rPr>
          <w:rFonts w:hint="eastAsia" w:ascii="Times New Roman" w:hAnsi="Times New Roman" w:cs="Times New Roman"/>
          <w:lang w:val="en-US" w:eastAsia="zh-CN"/>
        </w:rPr>
      </w:pPr>
    </w:p>
    <w:p>
      <w:pPr>
        <w:numPr>
          <w:ilvl w:val="-1"/>
          <w:numId w:val="0"/>
        </w:numPr>
        <w:autoSpaceDE w:val="0"/>
        <w:autoSpaceDN w:val="0"/>
        <w:adjustRightInd w:val="0"/>
        <w:spacing w:line="480" w:lineRule="exact"/>
        <w:rPr>
          <w:rFonts w:hint="eastAsia" w:ascii="Times New Roman" w:hAnsi="Times New Roman" w:cs="Times New Roman"/>
          <w:lang w:val="en-US" w:eastAsia="zh-CN"/>
        </w:rPr>
      </w:pPr>
    </w:p>
    <w:p>
      <w:pPr>
        <w:numPr>
          <w:ilvl w:val="0"/>
          <w:numId w:val="0"/>
        </w:numPr>
        <w:autoSpaceDE w:val="0"/>
        <w:autoSpaceDN w:val="0"/>
        <w:adjustRightInd w:val="0"/>
        <w:spacing w:line="480" w:lineRule="exact"/>
        <w:rPr>
          <w:rFonts w:hint="eastAsia" w:ascii="Times New Roman" w:hAnsi="Times New Roman" w:cs="Times New Roman"/>
          <w:b/>
          <w:bCs/>
          <w:lang w:val="en-US" w:eastAsia="zh-CN"/>
        </w:rPr>
      </w:pPr>
      <w:r>
        <w:rPr>
          <w:rFonts w:hint="eastAsia" w:ascii="Times New Roman" w:hAnsi="Times New Roman" w:cs="Times New Roman"/>
          <w:b/>
          <w:bCs/>
          <w:lang w:val="en-US" w:eastAsia="zh-CN"/>
        </w:rPr>
        <w:t>一、生产设备清单：</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2899"/>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1" w:type="dxa"/>
          </w:tcPr>
          <w:p>
            <w:pPr>
              <w:numPr>
                <w:ilvl w:val="0"/>
                <w:numId w:val="0"/>
              </w:numPr>
              <w:autoSpaceDE w:val="0"/>
              <w:autoSpaceDN w:val="0"/>
              <w:adjustRightInd w:val="0"/>
              <w:spacing w:line="480" w:lineRule="exact"/>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序号</w:t>
            </w:r>
          </w:p>
        </w:tc>
        <w:tc>
          <w:tcPr>
            <w:tcW w:w="2899" w:type="dxa"/>
          </w:tcPr>
          <w:p>
            <w:pPr>
              <w:numPr>
                <w:ilvl w:val="0"/>
                <w:numId w:val="0"/>
              </w:numPr>
              <w:autoSpaceDE w:val="0"/>
              <w:autoSpaceDN w:val="0"/>
              <w:adjustRightInd w:val="0"/>
              <w:spacing w:line="480" w:lineRule="exact"/>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设备名称</w:t>
            </w:r>
          </w:p>
        </w:tc>
        <w:tc>
          <w:tcPr>
            <w:tcW w:w="2131" w:type="dxa"/>
          </w:tcPr>
          <w:p>
            <w:pPr>
              <w:numPr>
                <w:ilvl w:val="0"/>
                <w:numId w:val="0"/>
              </w:numPr>
              <w:autoSpaceDE w:val="0"/>
              <w:autoSpaceDN w:val="0"/>
              <w:adjustRightInd w:val="0"/>
              <w:spacing w:line="480" w:lineRule="exact"/>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数量</w:t>
            </w:r>
          </w:p>
        </w:tc>
        <w:tc>
          <w:tcPr>
            <w:tcW w:w="2131" w:type="dxa"/>
          </w:tcPr>
          <w:p>
            <w:pPr>
              <w:numPr>
                <w:ilvl w:val="0"/>
                <w:numId w:val="0"/>
              </w:numPr>
              <w:autoSpaceDE w:val="0"/>
              <w:autoSpaceDN w:val="0"/>
              <w:adjustRightInd w:val="0"/>
              <w:spacing w:line="480" w:lineRule="exact"/>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1" w:type="dxa"/>
          </w:tcPr>
          <w:p>
            <w:pPr>
              <w:numPr>
                <w:ilvl w:val="0"/>
                <w:numId w:val="0"/>
              </w:numPr>
              <w:autoSpaceDE w:val="0"/>
              <w:autoSpaceDN w:val="0"/>
              <w:adjustRightInd w:val="0"/>
              <w:spacing w:line="480" w:lineRule="exact"/>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w:t>
            </w:r>
          </w:p>
        </w:tc>
        <w:tc>
          <w:tcPr>
            <w:tcW w:w="2899" w:type="dxa"/>
          </w:tcPr>
          <w:p>
            <w:pPr>
              <w:numPr>
                <w:ilvl w:val="0"/>
                <w:numId w:val="0"/>
              </w:numPr>
              <w:autoSpaceDE w:val="0"/>
              <w:autoSpaceDN w:val="0"/>
              <w:adjustRightInd w:val="0"/>
              <w:spacing w:line="480" w:lineRule="exact"/>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各种类型注塑机</w:t>
            </w:r>
          </w:p>
        </w:tc>
        <w:tc>
          <w:tcPr>
            <w:tcW w:w="2131" w:type="dxa"/>
          </w:tcPr>
          <w:p>
            <w:pPr>
              <w:numPr>
                <w:ilvl w:val="0"/>
                <w:numId w:val="0"/>
              </w:numPr>
              <w:autoSpaceDE w:val="0"/>
              <w:autoSpaceDN w:val="0"/>
              <w:adjustRightInd w:val="0"/>
              <w:spacing w:line="480" w:lineRule="exact"/>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14</w:t>
            </w:r>
          </w:p>
        </w:tc>
        <w:tc>
          <w:tcPr>
            <w:tcW w:w="2131" w:type="dxa"/>
          </w:tcPr>
          <w:p>
            <w:pPr>
              <w:numPr>
                <w:ilvl w:val="0"/>
                <w:numId w:val="0"/>
              </w:numPr>
              <w:autoSpaceDE w:val="0"/>
              <w:autoSpaceDN w:val="0"/>
              <w:adjustRightInd w:val="0"/>
              <w:spacing w:line="480" w:lineRule="exact"/>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1" w:type="dxa"/>
          </w:tcPr>
          <w:p>
            <w:pPr>
              <w:numPr>
                <w:ilvl w:val="0"/>
                <w:numId w:val="0"/>
              </w:numPr>
              <w:autoSpaceDE w:val="0"/>
              <w:autoSpaceDN w:val="0"/>
              <w:adjustRightInd w:val="0"/>
              <w:spacing w:line="480" w:lineRule="exact"/>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2</w:t>
            </w:r>
          </w:p>
        </w:tc>
        <w:tc>
          <w:tcPr>
            <w:tcW w:w="2899" w:type="dxa"/>
          </w:tcPr>
          <w:p>
            <w:pPr>
              <w:numPr>
                <w:ilvl w:val="0"/>
                <w:numId w:val="0"/>
              </w:numPr>
              <w:autoSpaceDE w:val="0"/>
              <w:autoSpaceDN w:val="0"/>
              <w:adjustRightInd w:val="0"/>
              <w:spacing w:line="480" w:lineRule="exact"/>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破碎机（注塑机中配套）</w:t>
            </w:r>
          </w:p>
        </w:tc>
        <w:tc>
          <w:tcPr>
            <w:tcW w:w="2131" w:type="dxa"/>
          </w:tcPr>
          <w:p>
            <w:pPr>
              <w:numPr>
                <w:ilvl w:val="0"/>
                <w:numId w:val="0"/>
              </w:numPr>
              <w:autoSpaceDE w:val="0"/>
              <w:autoSpaceDN w:val="0"/>
              <w:adjustRightInd w:val="0"/>
              <w:spacing w:line="480" w:lineRule="exact"/>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10</w:t>
            </w:r>
          </w:p>
        </w:tc>
        <w:tc>
          <w:tcPr>
            <w:tcW w:w="2131" w:type="dxa"/>
          </w:tcPr>
          <w:p>
            <w:pPr>
              <w:numPr>
                <w:ilvl w:val="0"/>
                <w:numId w:val="0"/>
              </w:numPr>
              <w:autoSpaceDE w:val="0"/>
              <w:autoSpaceDN w:val="0"/>
              <w:adjustRightInd w:val="0"/>
              <w:spacing w:line="480" w:lineRule="exact"/>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1" w:type="dxa"/>
          </w:tcPr>
          <w:p>
            <w:pPr>
              <w:numPr>
                <w:ilvl w:val="0"/>
                <w:numId w:val="0"/>
              </w:numPr>
              <w:autoSpaceDE w:val="0"/>
              <w:autoSpaceDN w:val="0"/>
              <w:adjustRightInd w:val="0"/>
              <w:spacing w:line="480" w:lineRule="exact"/>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3</w:t>
            </w:r>
          </w:p>
        </w:tc>
        <w:tc>
          <w:tcPr>
            <w:tcW w:w="2899" w:type="dxa"/>
          </w:tcPr>
          <w:p>
            <w:pPr>
              <w:numPr>
                <w:ilvl w:val="0"/>
                <w:numId w:val="0"/>
              </w:numPr>
              <w:autoSpaceDE w:val="0"/>
              <w:autoSpaceDN w:val="0"/>
              <w:adjustRightInd w:val="0"/>
              <w:spacing w:line="480" w:lineRule="exact"/>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烘箱</w:t>
            </w:r>
          </w:p>
        </w:tc>
        <w:tc>
          <w:tcPr>
            <w:tcW w:w="2131" w:type="dxa"/>
          </w:tcPr>
          <w:p>
            <w:pPr>
              <w:numPr>
                <w:ilvl w:val="0"/>
                <w:numId w:val="0"/>
              </w:numPr>
              <w:autoSpaceDE w:val="0"/>
              <w:autoSpaceDN w:val="0"/>
              <w:adjustRightInd w:val="0"/>
              <w:spacing w:line="480" w:lineRule="exact"/>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6</w:t>
            </w:r>
          </w:p>
        </w:tc>
        <w:tc>
          <w:tcPr>
            <w:tcW w:w="2131" w:type="dxa"/>
          </w:tcPr>
          <w:p>
            <w:pPr>
              <w:numPr>
                <w:ilvl w:val="0"/>
                <w:numId w:val="0"/>
              </w:numPr>
              <w:autoSpaceDE w:val="0"/>
              <w:autoSpaceDN w:val="0"/>
              <w:adjustRightInd w:val="0"/>
              <w:spacing w:line="480" w:lineRule="exact"/>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1" w:type="dxa"/>
          </w:tcPr>
          <w:p>
            <w:pPr>
              <w:numPr>
                <w:ilvl w:val="0"/>
                <w:numId w:val="0"/>
              </w:numPr>
              <w:autoSpaceDE w:val="0"/>
              <w:autoSpaceDN w:val="0"/>
              <w:adjustRightInd w:val="0"/>
              <w:spacing w:line="480" w:lineRule="exact"/>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4</w:t>
            </w:r>
          </w:p>
        </w:tc>
        <w:tc>
          <w:tcPr>
            <w:tcW w:w="2899" w:type="dxa"/>
          </w:tcPr>
          <w:p>
            <w:pPr>
              <w:numPr>
                <w:ilvl w:val="0"/>
                <w:numId w:val="0"/>
              </w:numPr>
              <w:autoSpaceDE w:val="0"/>
              <w:autoSpaceDN w:val="0"/>
              <w:adjustRightInd w:val="0"/>
              <w:spacing w:line="480" w:lineRule="exact"/>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冷却塔</w:t>
            </w:r>
          </w:p>
        </w:tc>
        <w:tc>
          <w:tcPr>
            <w:tcW w:w="2131" w:type="dxa"/>
          </w:tcPr>
          <w:p>
            <w:pPr>
              <w:numPr>
                <w:ilvl w:val="0"/>
                <w:numId w:val="0"/>
              </w:numPr>
              <w:autoSpaceDE w:val="0"/>
              <w:autoSpaceDN w:val="0"/>
              <w:adjustRightInd w:val="0"/>
              <w:spacing w:line="480" w:lineRule="exact"/>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w:t>
            </w:r>
          </w:p>
        </w:tc>
        <w:tc>
          <w:tcPr>
            <w:tcW w:w="2131" w:type="dxa"/>
          </w:tcPr>
          <w:p>
            <w:pPr>
              <w:numPr>
                <w:ilvl w:val="0"/>
                <w:numId w:val="0"/>
              </w:numPr>
              <w:autoSpaceDE w:val="0"/>
              <w:autoSpaceDN w:val="0"/>
              <w:adjustRightInd w:val="0"/>
              <w:spacing w:line="480" w:lineRule="exact"/>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1" w:type="dxa"/>
          </w:tcPr>
          <w:p>
            <w:pPr>
              <w:numPr>
                <w:ilvl w:val="0"/>
                <w:numId w:val="0"/>
              </w:numPr>
              <w:autoSpaceDE w:val="0"/>
              <w:autoSpaceDN w:val="0"/>
              <w:adjustRightInd w:val="0"/>
              <w:spacing w:line="480" w:lineRule="exact"/>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5</w:t>
            </w:r>
          </w:p>
        </w:tc>
        <w:tc>
          <w:tcPr>
            <w:tcW w:w="2899" w:type="dxa"/>
          </w:tcPr>
          <w:p>
            <w:pPr>
              <w:numPr>
                <w:ilvl w:val="0"/>
                <w:numId w:val="0"/>
              </w:numPr>
              <w:autoSpaceDE w:val="0"/>
              <w:autoSpaceDN w:val="0"/>
              <w:adjustRightInd w:val="0"/>
              <w:spacing w:line="480" w:lineRule="exact"/>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空压机</w:t>
            </w:r>
          </w:p>
        </w:tc>
        <w:tc>
          <w:tcPr>
            <w:tcW w:w="2131" w:type="dxa"/>
          </w:tcPr>
          <w:p>
            <w:pPr>
              <w:numPr>
                <w:ilvl w:val="0"/>
                <w:numId w:val="0"/>
              </w:numPr>
              <w:autoSpaceDE w:val="0"/>
              <w:autoSpaceDN w:val="0"/>
              <w:adjustRightInd w:val="0"/>
              <w:spacing w:line="480" w:lineRule="exact"/>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w:t>
            </w:r>
          </w:p>
        </w:tc>
        <w:tc>
          <w:tcPr>
            <w:tcW w:w="2131" w:type="dxa"/>
          </w:tcPr>
          <w:p>
            <w:pPr>
              <w:numPr>
                <w:ilvl w:val="0"/>
                <w:numId w:val="0"/>
              </w:numPr>
              <w:autoSpaceDE w:val="0"/>
              <w:autoSpaceDN w:val="0"/>
              <w:adjustRightInd w:val="0"/>
              <w:spacing w:line="480" w:lineRule="exact"/>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1" w:type="dxa"/>
          </w:tcPr>
          <w:p>
            <w:pPr>
              <w:numPr>
                <w:ilvl w:val="0"/>
                <w:numId w:val="0"/>
              </w:numPr>
              <w:autoSpaceDE w:val="0"/>
              <w:autoSpaceDN w:val="0"/>
              <w:adjustRightInd w:val="0"/>
              <w:spacing w:line="480" w:lineRule="exact"/>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6</w:t>
            </w:r>
          </w:p>
        </w:tc>
        <w:tc>
          <w:tcPr>
            <w:tcW w:w="2899" w:type="dxa"/>
          </w:tcPr>
          <w:p>
            <w:pPr>
              <w:numPr>
                <w:ilvl w:val="0"/>
                <w:numId w:val="0"/>
              </w:numPr>
              <w:autoSpaceDE w:val="0"/>
              <w:autoSpaceDN w:val="0"/>
              <w:adjustRightInd w:val="0"/>
              <w:spacing w:line="480" w:lineRule="exact"/>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拌料机</w:t>
            </w:r>
          </w:p>
        </w:tc>
        <w:tc>
          <w:tcPr>
            <w:tcW w:w="2131" w:type="dxa"/>
          </w:tcPr>
          <w:p>
            <w:pPr>
              <w:numPr>
                <w:ilvl w:val="0"/>
                <w:numId w:val="0"/>
              </w:numPr>
              <w:autoSpaceDE w:val="0"/>
              <w:autoSpaceDN w:val="0"/>
              <w:adjustRightInd w:val="0"/>
              <w:spacing w:line="480" w:lineRule="exact"/>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3</w:t>
            </w:r>
          </w:p>
        </w:tc>
        <w:tc>
          <w:tcPr>
            <w:tcW w:w="2131" w:type="dxa"/>
          </w:tcPr>
          <w:p>
            <w:pPr>
              <w:numPr>
                <w:ilvl w:val="0"/>
                <w:numId w:val="0"/>
              </w:numPr>
              <w:autoSpaceDE w:val="0"/>
              <w:autoSpaceDN w:val="0"/>
              <w:adjustRightInd w:val="0"/>
              <w:spacing w:line="480" w:lineRule="exact"/>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台</w:t>
            </w:r>
          </w:p>
        </w:tc>
      </w:tr>
    </w:tbl>
    <w:p>
      <w:pPr>
        <w:numPr>
          <w:ilvl w:val="0"/>
          <w:numId w:val="0"/>
        </w:numPr>
        <w:autoSpaceDE w:val="0"/>
        <w:autoSpaceDN w:val="0"/>
        <w:adjustRightInd w:val="0"/>
        <w:spacing w:line="480" w:lineRule="exact"/>
        <w:rPr>
          <w:rFonts w:hint="eastAsia" w:ascii="Times New Roman" w:hAnsi="Times New Roman" w:cs="Times New Roman"/>
          <w:lang w:val="en-US" w:eastAsia="zh-CN"/>
        </w:rPr>
      </w:pPr>
    </w:p>
    <w:p>
      <w:pPr>
        <w:numPr>
          <w:ilvl w:val="0"/>
          <w:numId w:val="1"/>
        </w:numPr>
        <w:autoSpaceDE w:val="0"/>
        <w:autoSpaceDN w:val="0"/>
        <w:adjustRightInd w:val="0"/>
        <w:spacing w:line="480" w:lineRule="exact"/>
        <w:rPr>
          <w:rFonts w:hint="eastAsia" w:ascii="Times New Roman" w:hAnsi="Times New Roman" w:cs="Times New Roman"/>
          <w:b/>
          <w:bCs/>
          <w:lang w:val="en-US" w:eastAsia="zh-CN"/>
        </w:rPr>
      </w:pPr>
      <w:r>
        <w:rPr>
          <w:rFonts w:hint="eastAsia" w:ascii="Times New Roman" w:hAnsi="Times New Roman" w:cs="Times New Roman"/>
          <w:b/>
          <w:bCs/>
          <w:lang w:val="en-US" w:eastAsia="zh-CN"/>
        </w:rPr>
        <w:t>原辅材料年用量：</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6"/>
        <w:gridCol w:w="2874"/>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tcPr>
          <w:p>
            <w:pPr>
              <w:numPr>
                <w:ilvl w:val="0"/>
                <w:numId w:val="0"/>
              </w:numPr>
              <w:autoSpaceDE w:val="0"/>
              <w:autoSpaceDN w:val="0"/>
              <w:adjustRightInd w:val="0"/>
              <w:spacing w:line="480" w:lineRule="exact"/>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序号</w:t>
            </w:r>
          </w:p>
        </w:tc>
        <w:tc>
          <w:tcPr>
            <w:tcW w:w="2874" w:type="dxa"/>
          </w:tcPr>
          <w:p>
            <w:pPr>
              <w:numPr>
                <w:ilvl w:val="0"/>
                <w:numId w:val="0"/>
              </w:numPr>
              <w:autoSpaceDE w:val="0"/>
              <w:autoSpaceDN w:val="0"/>
              <w:adjustRightInd w:val="0"/>
              <w:spacing w:line="480" w:lineRule="exact"/>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名称</w:t>
            </w:r>
          </w:p>
        </w:tc>
        <w:tc>
          <w:tcPr>
            <w:tcW w:w="2131" w:type="dxa"/>
          </w:tcPr>
          <w:p>
            <w:pPr>
              <w:numPr>
                <w:ilvl w:val="0"/>
                <w:numId w:val="0"/>
              </w:numPr>
              <w:autoSpaceDE w:val="0"/>
              <w:autoSpaceDN w:val="0"/>
              <w:adjustRightInd w:val="0"/>
              <w:spacing w:line="480" w:lineRule="exact"/>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年用量</w:t>
            </w:r>
          </w:p>
        </w:tc>
        <w:tc>
          <w:tcPr>
            <w:tcW w:w="2131" w:type="dxa"/>
          </w:tcPr>
          <w:p>
            <w:pPr>
              <w:numPr>
                <w:ilvl w:val="0"/>
                <w:numId w:val="0"/>
              </w:numPr>
              <w:autoSpaceDE w:val="0"/>
              <w:autoSpaceDN w:val="0"/>
              <w:adjustRightInd w:val="0"/>
              <w:spacing w:line="480" w:lineRule="exact"/>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tcPr>
          <w:p>
            <w:pPr>
              <w:numPr>
                <w:ilvl w:val="0"/>
                <w:numId w:val="0"/>
              </w:numPr>
              <w:autoSpaceDE w:val="0"/>
              <w:autoSpaceDN w:val="0"/>
              <w:adjustRightInd w:val="0"/>
              <w:spacing w:line="480" w:lineRule="exact"/>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w:t>
            </w:r>
          </w:p>
        </w:tc>
        <w:tc>
          <w:tcPr>
            <w:tcW w:w="2874" w:type="dxa"/>
          </w:tcPr>
          <w:p>
            <w:pPr>
              <w:numPr>
                <w:ilvl w:val="0"/>
                <w:numId w:val="0"/>
              </w:numPr>
              <w:autoSpaceDE w:val="0"/>
              <w:autoSpaceDN w:val="0"/>
              <w:adjustRightInd w:val="0"/>
              <w:spacing w:line="480" w:lineRule="exact"/>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ABS粒子</w:t>
            </w:r>
          </w:p>
        </w:tc>
        <w:tc>
          <w:tcPr>
            <w:tcW w:w="2131" w:type="dxa"/>
          </w:tcPr>
          <w:p>
            <w:pPr>
              <w:numPr>
                <w:ilvl w:val="0"/>
                <w:numId w:val="0"/>
              </w:numPr>
              <w:autoSpaceDE w:val="0"/>
              <w:autoSpaceDN w:val="0"/>
              <w:adjustRightInd w:val="0"/>
              <w:spacing w:line="480" w:lineRule="exact"/>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230</w:t>
            </w:r>
          </w:p>
        </w:tc>
        <w:tc>
          <w:tcPr>
            <w:tcW w:w="2131" w:type="dxa"/>
          </w:tcPr>
          <w:p>
            <w:pPr>
              <w:numPr>
                <w:ilvl w:val="0"/>
                <w:numId w:val="0"/>
              </w:numPr>
              <w:autoSpaceDE w:val="0"/>
              <w:autoSpaceDN w:val="0"/>
              <w:adjustRightInd w:val="0"/>
              <w:spacing w:line="480" w:lineRule="exact"/>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tcPr>
          <w:p>
            <w:pPr>
              <w:numPr>
                <w:ilvl w:val="0"/>
                <w:numId w:val="0"/>
              </w:numPr>
              <w:autoSpaceDE w:val="0"/>
              <w:autoSpaceDN w:val="0"/>
              <w:adjustRightInd w:val="0"/>
              <w:spacing w:line="480" w:lineRule="exact"/>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2</w:t>
            </w:r>
          </w:p>
        </w:tc>
        <w:tc>
          <w:tcPr>
            <w:tcW w:w="2874" w:type="dxa"/>
          </w:tcPr>
          <w:p>
            <w:pPr>
              <w:numPr>
                <w:ilvl w:val="0"/>
                <w:numId w:val="0"/>
              </w:numPr>
              <w:autoSpaceDE w:val="0"/>
              <w:autoSpaceDN w:val="0"/>
              <w:adjustRightInd w:val="0"/>
              <w:spacing w:line="480" w:lineRule="exact"/>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PP粒子</w:t>
            </w:r>
          </w:p>
        </w:tc>
        <w:tc>
          <w:tcPr>
            <w:tcW w:w="2131" w:type="dxa"/>
          </w:tcPr>
          <w:p>
            <w:pPr>
              <w:numPr>
                <w:ilvl w:val="0"/>
                <w:numId w:val="0"/>
              </w:numPr>
              <w:autoSpaceDE w:val="0"/>
              <w:autoSpaceDN w:val="0"/>
              <w:adjustRightInd w:val="0"/>
              <w:spacing w:line="480" w:lineRule="exact"/>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50</w:t>
            </w:r>
          </w:p>
        </w:tc>
        <w:tc>
          <w:tcPr>
            <w:tcW w:w="2131" w:type="dxa"/>
          </w:tcPr>
          <w:p>
            <w:pPr>
              <w:numPr>
                <w:ilvl w:val="0"/>
                <w:numId w:val="0"/>
              </w:numPr>
              <w:autoSpaceDE w:val="0"/>
              <w:autoSpaceDN w:val="0"/>
              <w:adjustRightInd w:val="0"/>
              <w:spacing w:line="480" w:lineRule="exact"/>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tcPr>
          <w:p>
            <w:pPr>
              <w:numPr>
                <w:ilvl w:val="0"/>
                <w:numId w:val="0"/>
              </w:numPr>
              <w:autoSpaceDE w:val="0"/>
              <w:autoSpaceDN w:val="0"/>
              <w:adjustRightInd w:val="0"/>
              <w:spacing w:line="480" w:lineRule="exact"/>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3</w:t>
            </w:r>
          </w:p>
        </w:tc>
        <w:tc>
          <w:tcPr>
            <w:tcW w:w="2874" w:type="dxa"/>
          </w:tcPr>
          <w:p>
            <w:pPr>
              <w:numPr>
                <w:ilvl w:val="0"/>
                <w:numId w:val="0"/>
              </w:numPr>
              <w:autoSpaceDE w:val="0"/>
              <w:autoSpaceDN w:val="0"/>
              <w:adjustRightInd w:val="0"/>
              <w:spacing w:line="480" w:lineRule="exact"/>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PC粒子</w:t>
            </w:r>
          </w:p>
        </w:tc>
        <w:tc>
          <w:tcPr>
            <w:tcW w:w="2131" w:type="dxa"/>
          </w:tcPr>
          <w:p>
            <w:pPr>
              <w:numPr>
                <w:ilvl w:val="0"/>
                <w:numId w:val="0"/>
              </w:numPr>
              <w:autoSpaceDE w:val="0"/>
              <w:autoSpaceDN w:val="0"/>
              <w:adjustRightInd w:val="0"/>
              <w:spacing w:line="480" w:lineRule="exact"/>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10</w:t>
            </w:r>
          </w:p>
        </w:tc>
        <w:tc>
          <w:tcPr>
            <w:tcW w:w="2131" w:type="dxa"/>
          </w:tcPr>
          <w:p>
            <w:pPr>
              <w:numPr>
                <w:ilvl w:val="0"/>
                <w:numId w:val="0"/>
              </w:numPr>
              <w:autoSpaceDE w:val="0"/>
              <w:autoSpaceDN w:val="0"/>
              <w:adjustRightInd w:val="0"/>
              <w:spacing w:line="480" w:lineRule="exact"/>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tcPr>
          <w:p>
            <w:pPr>
              <w:numPr>
                <w:ilvl w:val="0"/>
                <w:numId w:val="0"/>
              </w:numPr>
              <w:autoSpaceDE w:val="0"/>
              <w:autoSpaceDN w:val="0"/>
              <w:adjustRightInd w:val="0"/>
              <w:spacing w:line="480" w:lineRule="exact"/>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4</w:t>
            </w:r>
          </w:p>
        </w:tc>
        <w:tc>
          <w:tcPr>
            <w:tcW w:w="2874" w:type="dxa"/>
          </w:tcPr>
          <w:p>
            <w:pPr>
              <w:numPr>
                <w:ilvl w:val="0"/>
                <w:numId w:val="0"/>
              </w:numPr>
              <w:autoSpaceDE w:val="0"/>
              <w:autoSpaceDN w:val="0"/>
              <w:adjustRightInd w:val="0"/>
              <w:spacing w:line="480" w:lineRule="exact"/>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PA6粒子</w:t>
            </w:r>
          </w:p>
        </w:tc>
        <w:tc>
          <w:tcPr>
            <w:tcW w:w="2131" w:type="dxa"/>
          </w:tcPr>
          <w:p>
            <w:pPr>
              <w:numPr>
                <w:ilvl w:val="0"/>
                <w:numId w:val="0"/>
              </w:numPr>
              <w:autoSpaceDE w:val="0"/>
              <w:autoSpaceDN w:val="0"/>
              <w:adjustRightInd w:val="0"/>
              <w:spacing w:line="480" w:lineRule="exact"/>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7</w:t>
            </w:r>
          </w:p>
        </w:tc>
        <w:tc>
          <w:tcPr>
            <w:tcW w:w="2131" w:type="dxa"/>
          </w:tcPr>
          <w:p>
            <w:pPr>
              <w:numPr>
                <w:ilvl w:val="0"/>
                <w:numId w:val="0"/>
              </w:numPr>
              <w:autoSpaceDE w:val="0"/>
              <w:autoSpaceDN w:val="0"/>
              <w:adjustRightInd w:val="0"/>
              <w:spacing w:line="480" w:lineRule="exact"/>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tcPr>
          <w:p>
            <w:pPr>
              <w:numPr>
                <w:ilvl w:val="0"/>
                <w:numId w:val="0"/>
              </w:numPr>
              <w:autoSpaceDE w:val="0"/>
              <w:autoSpaceDN w:val="0"/>
              <w:adjustRightInd w:val="0"/>
              <w:spacing w:line="480" w:lineRule="exact"/>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5</w:t>
            </w:r>
          </w:p>
        </w:tc>
        <w:tc>
          <w:tcPr>
            <w:tcW w:w="2874" w:type="dxa"/>
          </w:tcPr>
          <w:p>
            <w:pPr>
              <w:numPr>
                <w:ilvl w:val="0"/>
                <w:numId w:val="0"/>
              </w:numPr>
              <w:autoSpaceDE w:val="0"/>
              <w:autoSpaceDN w:val="0"/>
              <w:adjustRightInd w:val="0"/>
              <w:spacing w:line="480" w:lineRule="exact"/>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色母粒</w:t>
            </w:r>
          </w:p>
        </w:tc>
        <w:tc>
          <w:tcPr>
            <w:tcW w:w="2131" w:type="dxa"/>
          </w:tcPr>
          <w:p>
            <w:pPr>
              <w:numPr>
                <w:ilvl w:val="0"/>
                <w:numId w:val="0"/>
              </w:numPr>
              <w:autoSpaceDE w:val="0"/>
              <w:autoSpaceDN w:val="0"/>
              <w:adjustRightInd w:val="0"/>
              <w:spacing w:line="480" w:lineRule="exact"/>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3</w:t>
            </w:r>
          </w:p>
        </w:tc>
        <w:tc>
          <w:tcPr>
            <w:tcW w:w="2131" w:type="dxa"/>
          </w:tcPr>
          <w:p>
            <w:pPr>
              <w:numPr>
                <w:ilvl w:val="0"/>
                <w:numId w:val="0"/>
              </w:numPr>
              <w:autoSpaceDE w:val="0"/>
              <w:autoSpaceDN w:val="0"/>
              <w:adjustRightInd w:val="0"/>
              <w:spacing w:line="480" w:lineRule="exact"/>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tcPr>
          <w:p>
            <w:pPr>
              <w:numPr>
                <w:ilvl w:val="0"/>
                <w:numId w:val="0"/>
              </w:numPr>
              <w:autoSpaceDE w:val="0"/>
              <w:autoSpaceDN w:val="0"/>
              <w:adjustRightInd w:val="0"/>
              <w:spacing w:line="480" w:lineRule="exact"/>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6</w:t>
            </w:r>
          </w:p>
        </w:tc>
        <w:tc>
          <w:tcPr>
            <w:tcW w:w="2874" w:type="dxa"/>
          </w:tcPr>
          <w:p>
            <w:pPr>
              <w:numPr>
                <w:ilvl w:val="0"/>
                <w:numId w:val="0"/>
              </w:numPr>
              <w:autoSpaceDE w:val="0"/>
              <w:autoSpaceDN w:val="0"/>
              <w:adjustRightInd w:val="0"/>
              <w:spacing w:line="480" w:lineRule="exact"/>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机械润滑油</w:t>
            </w:r>
          </w:p>
        </w:tc>
        <w:tc>
          <w:tcPr>
            <w:tcW w:w="2131" w:type="dxa"/>
          </w:tcPr>
          <w:p>
            <w:pPr>
              <w:numPr>
                <w:ilvl w:val="0"/>
                <w:numId w:val="0"/>
              </w:numPr>
              <w:autoSpaceDE w:val="0"/>
              <w:autoSpaceDN w:val="0"/>
              <w:adjustRightInd w:val="0"/>
              <w:spacing w:line="480" w:lineRule="exact"/>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0.2</w:t>
            </w:r>
          </w:p>
        </w:tc>
        <w:tc>
          <w:tcPr>
            <w:tcW w:w="2131" w:type="dxa"/>
          </w:tcPr>
          <w:p>
            <w:pPr>
              <w:numPr>
                <w:ilvl w:val="0"/>
                <w:numId w:val="0"/>
              </w:numPr>
              <w:autoSpaceDE w:val="0"/>
              <w:autoSpaceDN w:val="0"/>
              <w:adjustRightInd w:val="0"/>
              <w:spacing w:line="480" w:lineRule="exact"/>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吨</w:t>
            </w:r>
          </w:p>
        </w:tc>
      </w:tr>
    </w:tbl>
    <w:p>
      <w:pPr>
        <w:numPr>
          <w:ilvl w:val="0"/>
          <w:numId w:val="0"/>
        </w:numPr>
        <w:autoSpaceDE w:val="0"/>
        <w:autoSpaceDN w:val="0"/>
        <w:adjustRightInd w:val="0"/>
        <w:spacing w:line="480" w:lineRule="exact"/>
        <w:rPr>
          <w:rFonts w:hint="eastAsia" w:ascii="Times New Roman" w:hAnsi="Times New Roman" w:cs="Times New Roman"/>
          <w:lang w:val="en-US" w:eastAsia="zh-CN"/>
        </w:rPr>
      </w:pPr>
    </w:p>
    <w:p>
      <w:pPr>
        <w:numPr>
          <w:ilvl w:val="0"/>
          <w:numId w:val="1"/>
        </w:numPr>
        <w:autoSpaceDE w:val="0"/>
        <w:autoSpaceDN w:val="0"/>
        <w:adjustRightInd w:val="0"/>
        <w:spacing w:line="480" w:lineRule="exact"/>
        <w:ind w:left="0" w:leftChars="0" w:firstLine="0" w:firstLineChars="0"/>
        <w:rPr>
          <w:rFonts w:hint="eastAsia" w:ascii="Times New Roman" w:hAnsi="Times New Roman" w:cs="Times New Roman"/>
          <w:b/>
          <w:bCs/>
          <w:lang w:val="en-US" w:eastAsia="zh-CN"/>
        </w:rPr>
      </w:pPr>
      <w:r>
        <w:rPr>
          <w:rFonts w:hint="eastAsia" w:ascii="Times New Roman" w:hAnsi="Times New Roman" w:cs="Times New Roman"/>
          <w:b/>
          <w:bCs/>
          <w:lang w:val="en-US" w:eastAsia="zh-CN"/>
        </w:rPr>
        <w:t>生产工艺流程：</w:t>
      </w:r>
    </w:p>
    <w:p>
      <w:pPr>
        <w:numPr>
          <w:ilvl w:val="0"/>
          <w:numId w:val="0"/>
        </w:numPr>
        <w:autoSpaceDE w:val="0"/>
        <w:autoSpaceDN w:val="0"/>
        <w:adjustRightInd w:val="0"/>
        <w:spacing w:line="480" w:lineRule="exact"/>
        <w:ind w:leftChars="0" w:firstLine="42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各种粒子（部分加色母粒）--烘箱（注塑机自带）烘干--注塑成型--水冷却（冷却水循环不外排）--检验（不合格品粉碎后回用于再生产）--包装--入库。</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3874385"/>
    <w:multiLevelType w:val="singleLevel"/>
    <w:tmpl w:val="43874385"/>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TEwNWYyY2MwNjI1YWU0MzE1NDgwM2Y2ZTA0YTRjZDUifQ=="/>
  </w:docVars>
  <w:rsids>
    <w:rsidRoot w:val="00E503A6"/>
    <w:rsid w:val="00060FFE"/>
    <w:rsid w:val="00086906"/>
    <w:rsid w:val="000B1F64"/>
    <w:rsid w:val="003F24A4"/>
    <w:rsid w:val="00481632"/>
    <w:rsid w:val="00522205"/>
    <w:rsid w:val="00555F65"/>
    <w:rsid w:val="0065442B"/>
    <w:rsid w:val="00A53258"/>
    <w:rsid w:val="00AA3CEC"/>
    <w:rsid w:val="00C65E34"/>
    <w:rsid w:val="00E503A6"/>
    <w:rsid w:val="00F56793"/>
    <w:rsid w:val="01AF70E0"/>
    <w:rsid w:val="022A49B8"/>
    <w:rsid w:val="02831388"/>
    <w:rsid w:val="02C646E1"/>
    <w:rsid w:val="04212517"/>
    <w:rsid w:val="04AE18D1"/>
    <w:rsid w:val="04CB4231"/>
    <w:rsid w:val="04D01847"/>
    <w:rsid w:val="05D25063"/>
    <w:rsid w:val="05D94D4B"/>
    <w:rsid w:val="06BA630B"/>
    <w:rsid w:val="074165A7"/>
    <w:rsid w:val="078F7797"/>
    <w:rsid w:val="07B94814"/>
    <w:rsid w:val="07E15B19"/>
    <w:rsid w:val="081163FE"/>
    <w:rsid w:val="08CE0793"/>
    <w:rsid w:val="09523495"/>
    <w:rsid w:val="09F75AC8"/>
    <w:rsid w:val="0A157CFC"/>
    <w:rsid w:val="0A1F7F92"/>
    <w:rsid w:val="0A7B2255"/>
    <w:rsid w:val="0AC534D0"/>
    <w:rsid w:val="0AF10769"/>
    <w:rsid w:val="0B155C80"/>
    <w:rsid w:val="0B5036E2"/>
    <w:rsid w:val="0B666A61"/>
    <w:rsid w:val="0C05627A"/>
    <w:rsid w:val="0CEC3874"/>
    <w:rsid w:val="0D51729D"/>
    <w:rsid w:val="0D9F625A"/>
    <w:rsid w:val="0E5C414B"/>
    <w:rsid w:val="0EEC54CF"/>
    <w:rsid w:val="0F1862C4"/>
    <w:rsid w:val="0F2033CB"/>
    <w:rsid w:val="0F827BE2"/>
    <w:rsid w:val="0F8C280E"/>
    <w:rsid w:val="0FF3179E"/>
    <w:rsid w:val="105C48D7"/>
    <w:rsid w:val="11366ED6"/>
    <w:rsid w:val="11BC387F"/>
    <w:rsid w:val="127A5769"/>
    <w:rsid w:val="12CF1390"/>
    <w:rsid w:val="139D148E"/>
    <w:rsid w:val="146D0E60"/>
    <w:rsid w:val="149503B7"/>
    <w:rsid w:val="15370E21"/>
    <w:rsid w:val="15402FA0"/>
    <w:rsid w:val="156236F4"/>
    <w:rsid w:val="15A9411A"/>
    <w:rsid w:val="15D1541F"/>
    <w:rsid w:val="15DD358D"/>
    <w:rsid w:val="16091C65"/>
    <w:rsid w:val="16227A29"/>
    <w:rsid w:val="163D2AB4"/>
    <w:rsid w:val="16492779"/>
    <w:rsid w:val="16A82624"/>
    <w:rsid w:val="17F66A2E"/>
    <w:rsid w:val="1807337A"/>
    <w:rsid w:val="186E51A7"/>
    <w:rsid w:val="194A79C2"/>
    <w:rsid w:val="199419A3"/>
    <w:rsid w:val="1A5A1E87"/>
    <w:rsid w:val="1A812C37"/>
    <w:rsid w:val="1B7C407F"/>
    <w:rsid w:val="1C375BD9"/>
    <w:rsid w:val="1CD13F56"/>
    <w:rsid w:val="1D4B790E"/>
    <w:rsid w:val="1E641526"/>
    <w:rsid w:val="1EA23DFC"/>
    <w:rsid w:val="1EE61C9C"/>
    <w:rsid w:val="1EF532EF"/>
    <w:rsid w:val="1F15637C"/>
    <w:rsid w:val="1F394761"/>
    <w:rsid w:val="1FC55FF4"/>
    <w:rsid w:val="1FF60ECD"/>
    <w:rsid w:val="1FF93EF0"/>
    <w:rsid w:val="201C198C"/>
    <w:rsid w:val="2040567B"/>
    <w:rsid w:val="21294361"/>
    <w:rsid w:val="213845A4"/>
    <w:rsid w:val="223034CD"/>
    <w:rsid w:val="22682C67"/>
    <w:rsid w:val="229C112C"/>
    <w:rsid w:val="22BD7457"/>
    <w:rsid w:val="22CC7C3A"/>
    <w:rsid w:val="23502079"/>
    <w:rsid w:val="237B0CD6"/>
    <w:rsid w:val="23AE0B4E"/>
    <w:rsid w:val="23F5677C"/>
    <w:rsid w:val="241A6046"/>
    <w:rsid w:val="241D19BD"/>
    <w:rsid w:val="243F09A7"/>
    <w:rsid w:val="245076FF"/>
    <w:rsid w:val="24EC4023"/>
    <w:rsid w:val="250C1FD0"/>
    <w:rsid w:val="262275D1"/>
    <w:rsid w:val="26995AE5"/>
    <w:rsid w:val="26D70675"/>
    <w:rsid w:val="26DB771C"/>
    <w:rsid w:val="26FD2518"/>
    <w:rsid w:val="271138CD"/>
    <w:rsid w:val="277125BE"/>
    <w:rsid w:val="27B506FD"/>
    <w:rsid w:val="27D56FF1"/>
    <w:rsid w:val="281C077C"/>
    <w:rsid w:val="2826784C"/>
    <w:rsid w:val="28416434"/>
    <w:rsid w:val="2895052E"/>
    <w:rsid w:val="28FA3A29"/>
    <w:rsid w:val="29203F47"/>
    <w:rsid w:val="29437F8A"/>
    <w:rsid w:val="297445E7"/>
    <w:rsid w:val="2A015762"/>
    <w:rsid w:val="2A522B7B"/>
    <w:rsid w:val="2A5266D7"/>
    <w:rsid w:val="2AC1560A"/>
    <w:rsid w:val="2B3921F1"/>
    <w:rsid w:val="2B7F799F"/>
    <w:rsid w:val="2B9F58A1"/>
    <w:rsid w:val="2BFF63EA"/>
    <w:rsid w:val="2C864D5D"/>
    <w:rsid w:val="2CF25F4F"/>
    <w:rsid w:val="2D23435A"/>
    <w:rsid w:val="2D320A41"/>
    <w:rsid w:val="2D39592C"/>
    <w:rsid w:val="2D8172D3"/>
    <w:rsid w:val="2F2B5748"/>
    <w:rsid w:val="2F2F348A"/>
    <w:rsid w:val="2F8C268B"/>
    <w:rsid w:val="2FA21EAE"/>
    <w:rsid w:val="30395C43"/>
    <w:rsid w:val="311C359A"/>
    <w:rsid w:val="316B2774"/>
    <w:rsid w:val="31E367AE"/>
    <w:rsid w:val="31F2254D"/>
    <w:rsid w:val="326C2300"/>
    <w:rsid w:val="32805DAB"/>
    <w:rsid w:val="32AE7C17"/>
    <w:rsid w:val="32D305D1"/>
    <w:rsid w:val="33122EA7"/>
    <w:rsid w:val="333948D8"/>
    <w:rsid w:val="33896EE1"/>
    <w:rsid w:val="34592D57"/>
    <w:rsid w:val="34C226AB"/>
    <w:rsid w:val="34D67F04"/>
    <w:rsid w:val="35C45AB6"/>
    <w:rsid w:val="36545584"/>
    <w:rsid w:val="369260AD"/>
    <w:rsid w:val="369F792A"/>
    <w:rsid w:val="36CF10AF"/>
    <w:rsid w:val="37C16C4A"/>
    <w:rsid w:val="37C4673A"/>
    <w:rsid w:val="38C5452F"/>
    <w:rsid w:val="38D17360"/>
    <w:rsid w:val="3902751A"/>
    <w:rsid w:val="3A4B4EF0"/>
    <w:rsid w:val="3AE96BE3"/>
    <w:rsid w:val="3B143534"/>
    <w:rsid w:val="3B583D69"/>
    <w:rsid w:val="3B9F72A2"/>
    <w:rsid w:val="3BCB0097"/>
    <w:rsid w:val="3C241E9D"/>
    <w:rsid w:val="3C3B249F"/>
    <w:rsid w:val="3CD92C87"/>
    <w:rsid w:val="3D0D2931"/>
    <w:rsid w:val="3E077380"/>
    <w:rsid w:val="3E451F26"/>
    <w:rsid w:val="3F4A7E6C"/>
    <w:rsid w:val="3F84431C"/>
    <w:rsid w:val="3F8E1B07"/>
    <w:rsid w:val="3FBA0B4E"/>
    <w:rsid w:val="3FD60D7E"/>
    <w:rsid w:val="40664832"/>
    <w:rsid w:val="41A35612"/>
    <w:rsid w:val="41BD4926"/>
    <w:rsid w:val="42E47C90"/>
    <w:rsid w:val="43A0005B"/>
    <w:rsid w:val="44487991"/>
    <w:rsid w:val="45196317"/>
    <w:rsid w:val="4550785F"/>
    <w:rsid w:val="45FB3C6E"/>
    <w:rsid w:val="463827CD"/>
    <w:rsid w:val="46712183"/>
    <w:rsid w:val="46FC1A4C"/>
    <w:rsid w:val="47571BAC"/>
    <w:rsid w:val="47586487"/>
    <w:rsid w:val="4820176A"/>
    <w:rsid w:val="48335EE0"/>
    <w:rsid w:val="48EC3D42"/>
    <w:rsid w:val="49285566"/>
    <w:rsid w:val="499861F8"/>
    <w:rsid w:val="4B11183E"/>
    <w:rsid w:val="4B5D5E67"/>
    <w:rsid w:val="4C4F2041"/>
    <w:rsid w:val="4C6C0A82"/>
    <w:rsid w:val="4C72455F"/>
    <w:rsid w:val="4C822177"/>
    <w:rsid w:val="4CAF130F"/>
    <w:rsid w:val="4CD60F91"/>
    <w:rsid w:val="4D07739D"/>
    <w:rsid w:val="4D0C6838"/>
    <w:rsid w:val="4DD94895"/>
    <w:rsid w:val="4E1F4272"/>
    <w:rsid w:val="4E4F4B57"/>
    <w:rsid w:val="4EBF2D1C"/>
    <w:rsid w:val="4F52428F"/>
    <w:rsid w:val="4FC155E1"/>
    <w:rsid w:val="4FD07F1A"/>
    <w:rsid w:val="4FFF6109"/>
    <w:rsid w:val="51316796"/>
    <w:rsid w:val="518C7E71"/>
    <w:rsid w:val="526D7CA2"/>
    <w:rsid w:val="52DC6BD6"/>
    <w:rsid w:val="534C78B7"/>
    <w:rsid w:val="536611E0"/>
    <w:rsid w:val="54E504AC"/>
    <w:rsid w:val="54EB3100"/>
    <w:rsid w:val="5520724E"/>
    <w:rsid w:val="55452810"/>
    <w:rsid w:val="56102E1E"/>
    <w:rsid w:val="569F1324"/>
    <w:rsid w:val="571526B6"/>
    <w:rsid w:val="57DD31D4"/>
    <w:rsid w:val="582708F3"/>
    <w:rsid w:val="58CD5124"/>
    <w:rsid w:val="58E97957"/>
    <w:rsid w:val="598C3C2B"/>
    <w:rsid w:val="59927FEE"/>
    <w:rsid w:val="599C2C1B"/>
    <w:rsid w:val="5A3B0686"/>
    <w:rsid w:val="5A7A2F5C"/>
    <w:rsid w:val="5A9F0C15"/>
    <w:rsid w:val="5AE472AB"/>
    <w:rsid w:val="5B264E92"/>
    <w:rsid w:val="5C7D6D34"/>
    <w:rsid w:val="5CAC586B"/>
    <w:rsid w:val="5CDF7673"/>
    <w:rsid w:val="5E0B637A"/>
    <w:rsid w:val="5E2F0501"/>
    <w:rsid w:val="5E394EDC"/>
    <w:rsid w:val="5EA07923"/>
    <w:rsid w:val="5EC23124"/>
    <w:rsid w:val="5ED54C05"/>
    <w:rsid w:val="5EE6796C"/>
    <w:rsid w:val="5F1514A5"/>
    <w:rsid w:val="5FE62E42"/>
    <w:rsid w:val="6022031E"/>
    <w:rsid w:val="60324319"/>
    <w:rsid w:val="60806DF2"/>
    <w:rsid w:val="60E07891"/>
    <w:rsid w:val="614B11AE"/>
    <w:rsid w:val="621F43E9"/>
    <w:rsid w:val="648C220A"/>
    <w:rsid w:val="64B27796"/>
    <w:rsid w:val="656942F9"/>
    <w:rsid w:val="65962C14"/>
    <w:rsid w:val="65A417D5"/>
    <w:rsid w:val="661204ED"/>
    <w:rsid w:val="661E0C39"/>
    <w:rsid w:val="66D62934"/>
    <w:rsid w:val="676514A7"/>
    <w:rsid w:val="67B37AAD"/>
    <w:rsid w:val="68352BB8"/>
    <w:rsid w:val="684352D5"/>
    <w:rsid w:val="68AB69D7"/>
    <w:rsid w:val="69AC6BE4"/>
    <w:rsid w:val="69D41F5D"/>
    <w:rsid w:val="69F34AD9"/>
    <w:rsid w:val="6A244C92"/>
    <w:rsid w:val="6A3053E5"/>
    <w:rsid w:val="6B142F59"/>
    <w:rsid w:val="6B5D66AE"/>
    <w:rsid w:val="6BFF7765"/>
    <w:rsid w:val="6C173084"/>
    <w:rsid w:val="6CC4275D"/>
    <w:rsid w:val="6D785A21"/>
    <w:rsid w:val="6DA73C10"/>
    <w:rsid w:val="6DD644F6"/>
    <w:rsid w:val="6DE704B1"/>
    <w:rsid w:val="6EB1286D"/>
    <w:rsid w:val="6ED8429D"/>
    <w:rsid w:val="706E4EB9"/>
    <w:rsid w:val="70CC1BE0"/>
    <w:rsid w:val="712B6906"/>
    <w:rsid w:val="712D267F"/>
    <w:rsid w:val="72127AC6"/>
    <w:rsid w:val="72604CD6"/>
    <w:rsid w:val="727442DD"/>
    <w:rsid w:val="72EE408F"/>
    <w:rsid w:val="737A0CE4"/>
    <w:rsid w:val="737D707B"/>
    <w:rsid w:val="73D72D76"/>
    <w:rsid w:val="7416389E"/>
    <w:rsid w:val="745D1EB5"/>
    <w:rsid w:val="74DD43BC"/>
    <w:rsid w:val="753D30AC"/>
    <w:rsid w:val="75A771F3"/>
    <w:rsid w:val="75B94E29"/>
    <w:rsid w:val="769431A0"/>
    <w:rsid w:val="769D2054"/>
    <w:rsid w:val="77CB0299"/>
    <w:rsid w:val="77F263D0"/>
    <w:rsid w:val="78EF290F"/>
    <w:rsid w:val="79EA1A55"/>
    <w:rsid w:val="7A28257D"/>
    <w:rsid w:val="7A6A0D8F"/>
    <w:rsid w:val="7A6B246A"/>
    <w:rsid w:val="7AC2652D"/>
    <w:rsid w:val="7AD65B35"/>
    <w:rsid w:val="7BA774D1"/>
    <w:rsid w:val="7C4D62CB"/>
    <w:rsid w:val="7C7F3FAA"/>
    <w:rsid w:val="7CA12173"/>
    <w:rsid w:val="7D63567A"/>
    <w:rsid w:val="7E3C5255"/>
    <w:rsid w:val="7E645D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4"/>
    <w:basedOn w:val="1"/>
    <w:next w:val="1"/>
    <w:link w:val="12"/>
    <w:autoRedefine/>
    <w:qFormat/>
    <w:uiPriority w:val="99"/>
    <w:pPr>
      <w:keepNext/>
      <w:keepLines/>
      <w:spacing w:before="280" w:after="290" w:line="374" w:lineRule="auto"/>
      <w:outlineLvl w:val="3"/>
    </w:pPr>
    <w:rPr>
      <w:rFonts w:ascii="Arial" w:hAnsi="Arial" w:eastAsia="黑体" w:cs="Arial"/>
      <w:b/>
      <w:bCs/>
      <w:sz w:val="28"/>
      <w:szCs w:val="28"/>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3">
    <w:name w:val="Plain Text"/>
    <w:basedOn w:val="1"/>
    <w:next w:val="4"/>
    <w:qFormat/>
    <w:uiPriority w:val="0"/>
    <w:rPr>
      <w:rFonts w:ascii="宋体" w:hAnsi="宋体" w:eastAsia="宋体"/>
      <w:szCs w:val="20"/>
    </w:rPr>
  </w:style>
  <w:style w:type="paragraph" w:styleId="4">
    <w:name w:val="toc 1"/>
    <w:basedOn w:val="1"/>
    <w:next w:val="1"/>
    <w:qFormat/>
    <w:uiPriority w:val="39"/>
    <w:pPr>
      <w:tabs>
        <w:tab w:val="right" w:leader="dot" w:pos="8296"/>
      </w:tabs>
      <w:jc w:val="left"/>
    </w:pPr>
    <w:rPr>
      <w:b/>
      <w:bCs/>
      <w:caps/>
      <w:sz w:val="20"/>
      <w:szCs w:val="20"/>
    </w:rPr>
  </w:style>
  <w:style w:type="paragraph" w:styleId="5">
    <w:name w:val="Balloon Text"/>
    <w:basedOn w:val="1"/>
    <w:link w:val="11"/>
    <w:autoRedefine/>
    <w:semiHidden/>
    <w:unhideWhenUsed/>
    <w:qFormat/>
    <w:uiPriority w:val="99"/>
    <w:rPr>
      <w:sz w:val="18"/>
      <w:szCs w:val="18"/>
    </w:rPr>
  </w:style>
  <w:style w:type="paragraph" w:styleId="6">
    <w:name w:val="footer"/>
    <w:basedOn w:val="1"/>
    <w:autoRedefine/>
    <w:qFormat/>
    <w:uiPriority w:val="99"/>
    <w:pPr>
      <w:tabs>
        <w:tab w:val="center" w:pos="4153"/>
        <w:tab w:val="right" w:pos="8306"/>
      </w:tabs>
      <w:snapToGrid w:val="0"/>
      <w:jc w:val="left"/>
    </w:pPr>
    <w:rPr>
      <w:kern w:val="0"/>
      <w:sz w:val="18"/>
      <w:szCs w:val="20"/>
    </w:rPr>
  </w:style>
  <w:style w:type="table" w:styleId="8">
    <w:name w:val="Table Grid"/>
    <w:basedOn w:val="7"/>
    <w:autoRedefine/>
    <w:qFormat/>
    <w:uiPriority w:val="59"/>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
    <w:name w:val="List Paragraph"/>
    <w:basedOn w:val="1"/>
    <w:autoRedefine/>
    <w:qFormat/>
    <w:uiPriority w:val="34"/>
    <w:pPr>
      <w:ind w:firstLine="420" w:firstLineChars="200"/>
    </w:pPr>
  </w:style>
  <w:style w:type="character" w:customStyle="1" w:styleId="11">
    <w:name w:val="批注框文本 Char"/>
    <w:basedOn w:val="9"/>
    <w:link w:val="5"/>
    <w:autoRedefine/>
    <w:semiHidden/>
    <w:qFormat/>
    <w:uiPriority w:val="99"/>
    <w:rPr>
      <w:sz w:val="18"/>
      <w:szCs w:val="18"/>
    </w:rPr>
  </w:style>
  <w:style w:type="character" w:customStyle="1" w:styleId="12">
    <w:name w:val="标题 4 Char"/>
    <w:basedOn w:val="9"/>
    <w:link w:val="2"/>
    <w:autoRedefine/>
    <w:qFormat/>
    <w:uiPriority w:val="99"/>
    <w:rPr>
      <w:rFonts w:ascii="Arial" w:hAnsi="Arial" w:eastAsia="黑体" w:cs="Arial"/>
      <w:b/>
      <w:bCs/>
      <w:sz w:val="28"/>
      <w:szCs w:val="28"/>
    </w:rPr>
  </w:style>
  <w:style w:type="paragraph" w:customStyle="1" w:styleId="13">
    <w:name w:val="表格标题"/>
    <w:basedOn w:val="14"/>
    <w:next w:val="1"/>
    <w:autoRedefine/>
    <w:qFormat/>
    <w:uiPriority w:val="0"/>
    <w:pPr>
      <w:jc w:val="center"/>
    </w:pPr>
    <w:rPr>
      <w:sz w:val="21"/>
      <w:szCs w:val="21"/>
    </w:rPr>
  </w:style>
  <w:style w:type="paragraph" w:customStyle="1" w:styleId="14">
    <w:name w:val="正文01"/>
    <w:basedOn w:val="15"/>
    <w:autoRedefine/>
    <w:qFormat/>
    <w:uiPriority w:val="0"/>
    <w:pPr>
      <w:spacing w:before="60" w:line="480" w:lineRule="exact"/>
      <w:ind w:firstLine="539"/>
    </w:pPr>
    <w:rPr>
      <w:sz w:val="27"/>
      <w:szCs w:val="20"/>
    </w:rPr>
  </w:style>
  <w:style w:type="paragraph" w:customStyle="1" w:styleId="15">
    <w:name w:val="二级标题"/>
    <w:basedOn w:val="1"/>
    <w:autoRedefine/>
    <w:qFormat/>
    <w:uiPriority w:val="0"/>
    <w:pPr>
      <w:spacing w:before="60" w:line="460" w:lineRule="exact"/>
      <w:outlineLvl w:val="1"/>
    </w:pPr>
    <w:rPr>
      <w:b/>
      <w:sz w:val="28"/>
      <w:szCs w:val="20"/>
    </w:rPr>
  </w:style>
  <w:style w:type="paragraph" w:customStyle="1" w:styleId="16">
    <w:name w:val="表格"/>
    <w:basedOn w:val="1"/>
    <w:next w:val="1"/>
    <w:autoRedefine/>
    <w:qFormat/>
    <w:uiPriority w:val="0"/>
    <w:pPr>
      <w:adjustRightInd w:val="0"/>
      <w:spacing w:line="240" w:lineRule="auto"/>
      <w:jc w:val="center"/>
    </w:pPr>
    <w:rPr>
      <w:kern w:val="0"/>
      <w:sz w:val="21"/>
      <w:szCs w:val="21"/>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239</Words>
  <Characters>1367</Characters>
  <Lines>11</Lines>
  <Paragraphs>3</Paragraphs>
  <TotalTime>49</TotalTime>
  <ScaleCrop>false</ScaleCrop>
  <LinksUpToDate>false</LinksUpToDate>
  <CharactersWithSpaces>1603</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2024-01-30T03:16:00Z</dcterms:created>
  <dc:creator>ax</dc:creator>
  <cp:lastModifiedBy>Administrator</cp:lastModifiedBy>
  <cp:lastPrinted>2024-03-26T08:01:00Z</cp:lastPrinted>
  <dcterms:modified xsi:type="dcterms:W3CDTF">2024-03-26T08:39:11Z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8C3316624BF44E43B483A42D86BC3F8F_12</vt:lpwstr>
  </property>
</Properties>
</file>